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DDE" w:rsidRDefault="00036DDE">
      <w:pPr>
        <w:rPr>
          <w:b/>
        </w:rPr>
      </w:pPr>
    </w:p>
    <w:p w:rsidR="00036DDE" w:rsidRDefault="00036DDE">
      <w:pPr>
        <w:rPr>
          <w:b/>
        </w:rPr>
      </w:pPr>
    </w:p>
    <w:p w:rsidR="00036DDE" w:rsidRDefault="00036DDE">
      <w:pPr>
        <w:rPr>
          <w:b/>
        </w:rPr>
      </w:pPr>
    </w:p>
    <w:p w:rsidR="00036DDE" w:rsidRDefault="00036DDE">
      <w:pPr>
        <w:rPr>
          <w:b/>
        </w:rPr>
      </w:pPr>
    </w:p>
    <w:p w:rsidR="00A70538" w:rsidRDefault="00A70538">
      <w:pPr>
        <w:rPr>
          <w:b/>
        </w:rPr>
      </w:pPr>
    </w:p>
    <w:p w:rsidR="00A70538" w:rsidRDefault="00A70538">
      <w:pPr>
        <w:rPr>
          <w:b/>
        </w:rPr>
      </w:pPr>
    </w:p>
    <w:p w:rsidR="00A70538" w:rsidRDefault="00A70538">
      <w:pPr>
        <w:rPr>
          <w:b/>
        </w:rPr>
      </w:pPr>
    </w:p>
    <w:p w:rsidR="00A70538" w:rsidRDefault="00A70538">
      <w:pPr>
        <w:rPr>
          <w:b/>
        </w:rPr>
      </w:pPr>
    </w:p>
    <w:p w:rsidR="00036DDE" w:rsidRDefault="00036DDE">
      <w:pPr>
        <w:rPr>
          <w:b/>
        </w:rPr>
      </w:pPr>
    </w:p>
    <w:p w:rsidR="00036DDE" w:rsidRDefault="00036DDE">
      <w:pPr>
        <w:rPr>
          <w:b/>
        </w:rPr>
      </w:pPr>
    </w:p>
    <w:p w:rsidR="00036DDE" w:rsidRDefault="00036DDE">
      <w:pPr>
        <w:rPr>
          <w:b/>
        </w:rPr>
      </w:pPr>
    </w:p>
    <w:p w:rsidR="00036DDE" w:rsidRDefault="002921B9" w:rsidP="00036DD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Gut Microbiomes in Prevention and Treatment of AD</w:t>
      </w:r>
    </w:p>
    <w:p w:rsidR="00036DDE" w:rsidRDefault="002921B9" w:rsidP="00036DD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036DDE" w:rsidRDefault="002921B9" w:rsidP="00036DD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036DDE" w:rsidRDefault="002921B9" w:rsidP="00036DD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036DDE" w:rsidRDefault="00036DDE" w:rsidP="00036DDE">
      <w:pPr>
        <w:jc w:val="center"/>
        <w:rPr>
          <w:b/>
        </w:rPr>
      </w:pPr>
    </w:p>
    <w:p w:rsidR="00036DDE" w:rsidRDefault="00036DDE">
      <w:pPr>
        <w:rPr>
          <w:b/>
        </w:rPr>
      </w:pPr>
    </w:p>
    <w:p w:rsidR="00036DDE" w:rsidRDefault="00036DDE">
      <w:pPr>
        <w:rPr>
          <w:b/>
        </w:rPr>
      </w:pPr>
    </w:p>
    <w:p w:rsidR="00036DDE" w:rsidRDefault="00036DDE">
      <w:pPr>
        <w:rPr>
          <w:b/>
        </w:rPr>
      </w:pPr>
    </w:p>
    <w:p w:rsidR="00036DDE" w:rsidRDefault="00036DDE">
      <w:pPr>
        <w:rPr>
          <w:b/>
        </w:rPr>
      </w:pPr>
    </w:p>
    <w:p w:rsidR="00036DDE" w:rsidRDefault="00036DDE">
      <w:pPr>
        <w:rPr>
          <w:b/>
        </w:rPr>
      </w:pPr>
    </w:p>
    <w:p w:rsidR="00036DDE" w:rsidRDefault="00036DDE">
      <w:pPr>
        <w:rPr>
          <w:b/>
        </w:rPr>
      </w:pPr>
    </w:p>
    <w:p w:rsidR="00036DDE" w:rsidRDefault="00036DDE">
      <w:pPr>
        <w:rPr>
          <w:b/>
        </w:rPr>
      </w:pPr>
    </w:p>
    <w:p w:rsidR="00036DDE" w:rsidRDefault="00036DDE">
      <w:pPr>
        <w:rPr>
          <w:b/>
        </w:rPr>
      </w:pPr>
    </w:p>
    <w:p w:rsidR="00036DDE" w:rsidRDefault="00036DDE">
      <w:pPr>
        <w:rPr>
          <w:b/>
        </w:rPr>
      </w:pPr>
    </w:p>
    <w:p w:rsidR="00036DDE" w:rsidRDefault="00036DDE">
      <w:pPr>
        <w:rPr>
          <w:b/>
        </w:rPr>
      </w:pPr>
    </w:p>
    <w:p w:rsidR="00036DDE" w:rsidRDefault="00036DDE">
      <w:pPr>
        <w:rPr>
          <w:b/>
        </w:rPr>
      </w:pPr>
    </w:p>
    <w:p w:rsidR="00036DDE" w:rsidRPr="00036DDE" w:rsidRDefault="002921B9" w:rsidP="00036DDE">
      <w:pPr>
        <w:spacing w:after="0" w:line="480" w:lineRule="auto"/>
        <w:ind w:firstLine="720"/>
        <w:jc w:val="center"/>
        <w:rPr>
          <w:b/>
        </w:rPr>
      </w:pPr>
      <w:r w:rsidRPr="00036DDE">
        <w:rPr>
          <w:rFonts w:ascii="Times New Roman" w:hAnsi="Times New Roman" w:cs="Times New Roman"/>
          <w:color w:val="000000" w:themeColor="text1"/>
          <w:sz w:val="24"/>
          <w:szCs w:val="24"/>
        </w:rPr>
        <w:t>Gut Microbiomes in Prevention and Treatment of AD</w:t>
      </w:r>
    </w:p>
    <w:p w:rsidR="00B31A33" w:rsidRPr="00036DDE" w:rsidRDefault="002921B9" w:rsidP="00036DDE">
      <w:pPr>
        <w:spacing w:after="0" w:line="480" w:lineRule="auto"/>
        <w:ind w:firstLine="720"/>
        <w:jc w:val="center"/>
        <w:rPr>
          <w:rFonts w:ascii="Times New Roman" w:hAnsi="Times New Roman" w:cs="Times New Roman"/>
          <w:b/>
          <w:color w:val="000000" w:themeColor="text1"/>
          <w:sz w:val="24"/>
          <w:szCs w:val="24"/>
        </w:rPr>
      </w:pPr>
      <w:r w:rsidRPr="00036DDE">
        <w:rPr>
          <w:rFonts w:ascii="Times New Roman" w:hAnsi="Times New Roman" w:cs="Times New Roman"/>
          <w:b/>
          <w:color w:val="000000" w:themeColor="text1"/>
          <w:sz w:val="24"/>
          <w:szCs w:val="24"/>
        </w:rPr>
        <w:t>Introduction</w:t>
      </w:r>
    </w:p>
    <w:p w:rsidR="00E37C1C" w:rsidRPr="00036DDE" w:rsidRDefault="002921B9"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 xml:space="preserve">The peripheral and intrinsic signals control the development of the CNS (Central nervous system). The environmental factors have been suggested to be significant in the neurological activities concerning the pathological and physiological conditions. Research has revealed the evidence suggesting the relationship between gut microbiomes and the brain. The interaction between the brain and the microbiomes in the gut has a significant impact on the neuro-generative process, which leads to the development of tumors and neurodegenerative conditions (Ma et al., 2019). The microbiomes in the human gut include viruses, fungi, archaea, and bacteria. The presence of these microbiomes in the stomach influences the pathological and physiological process of the organisms, which leads to diseases and implications on the health status. </w:t>
      </w:r>
      <w:r w:rsidR="00E960EE" w:rsidRPr="00036DDE">
        <w:rPr>
          <w:rFonts w:ascii="Times New Roman" w:hAnsi="Times New Roman" w:cs="Times New Roman"/>
          <w:color w:val="000000" w:themeColor="text1"/>
          <w:sz w:val="24"/>
          <w:szCs w:val="24"/>
        </w:rPr>
        <w:t>The inher</w:t>
      </w:r>
      <w:r w:rsidR="002028AA">
        <w:rPr>
          <w:rFonts w:ascii="Times New Roman" w:hAnsi="Times New Roman" w:cs="Times New Roman"/>
          <w:color w:val="000000" w:themeColor="text1"/>
          <w:sz w:val="24"/>
          <w:szCs w:val="24"/>
        </w:rPr>
        <w:t xml:space="preserve">ited microbial flora transforms, following the </w:t>
      </w:r>
      <w:r w:rsidR="00E960EE" w:rsidRPr="00036DDE">
        <w:rPr>
          <w:rFonts w:ascii="Times New Roman" w:hAnsi="Times New Roman" w:cs="Times New Roman"/>
          <w:color w:val="000000" w:themeColor="text1"/>
          <w:sz w:val="24"/>
          <w:szCs w:val="24"/>
        </w:rPr>
        <w:t>dietary habits and environmental influences. The responsibility of microbiomes in maintaining immunity has been suggested by research. Therefore, the alterations of the microbiomes in the gut leads to intestinal illnesses, and conditions of the distal systems such as malignancies, autoimmune diseases, and inflammatory bowel condition.</w:t>
      </w:r>
      <w:r w:rsidR="00A30187">
        <w:rPr>
          <w:rFonts w:ascii="Times New Roman" w:hAnsi="Times New Roman" w:cs="Times New Roman"/>
          <w:color w:val="000000" w:themeColor="text1"/>
          <w:sz w:val="24"/>
          <w:szCs w:val="24"/>
        </w:rPr>
        <w:t xml:space="preserve"> Understanding the changes in the microbiomes impacts the treatment and prevention of Alzheimer</w:t>
      </w:r>
      <w:r w:rsidR="00890C41">
        <w:rPr>
          <w:rFonts w:ascii="Times New Roman" w:hAnsi="Times New Roman" w:cs="Times New Roman"/>
          <w:color w:val="000000" w:themeColor="text1"/>
          <w:sz w:val="24"/>
          <w:szCs w:val="24"/>
        </w:rPr>
        <w:t>'</w:t>
      </w:r>
      <w:r w:rsidR="00A30187">
        <w:rPr>
          <w:rFonts w:ascii="Times New Roman" w:hAnsi="Times New Roman" w:cs="Times New Roman"/>
          <w:color w:val="000000" w:themeColor="text1"/>
          <w:sz w:val="24"/>
          <w:szCs w:val="24"/>
        </w:rPr>
        <w:t>s disease effectively.</w:t>
      </w:r>
    </w:p>
    <w:p w:rsidR="00E960EE" w:rsidRPr="00036DDE" w:rsidRDefault="002921B9"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Gut microbiomes regulate the homeostasis and development of CNS in the context of the immune system. Therefore, there is a link between the gut microbiomes and the change of the immune system. The variations of the gut microbiomes are associated with CNS disorders such as Gliomas, Multiple sclerosis, Parkinson's disease, and Alzheimer's disease (AD)</w:t>
      </w:r>
      <w:r w:rsidR="0083682B" w:rsidRPr="00036DDE">
        <w:rPr>
          <w:rFonts w:ascii="Times New Roman" w:hAnsi="Times New Roman" w:cs="Times New Roman"/>
          <w:color w:val="000000" w:themeColor="text1"/>
          <w:sz w:val="24"/>
          <w:szCs w:val="24"/>
        </w:rPr>
        <w:t xml:space="preserve"> (Weller, 2018)</w:t>
      </w:r>
      <w:r w:rsidRPr="00036DDE">
        <w:rPr>
          <w:rFonts w:ascii="Times New Roman" w:hAnsi="Times New Roman" w:cs="Times New Roman"/>
          <w:color w:val="000000" w:themeColor="text1"/>
          <w:sz w:val="24"/>
          <w:szCs w:val="24"/>
        </w:rPr>
        <w:t>. This paper focuses on how the changes in the microbiome can lead to the prevention and treatment of neurological disorders, specifically AD. The understanding of th</w:t>
      </w:r>
      <w:r w:rsidR="00B31A33" w:rsidRPr="00036DDE">
        <w:rPr>
          <w:rFonts w:ascii="Times New Roman" w:hAnsi="Times New Roman" w:cs="Times New Roman"/>
          <w:color w:val="000000" w:themeColor="text1"/>
          <w:sz w:val="24"/>
          <w:szCs w:val="24"/>
        </w:rPr>
        <w:t xml:space="preserve">e changes that </w:t>
      </w:r>
      <w:r w:rsidR="00B31A33" w:rsidRPr="00036DDE">
        <w:rPr>
          <w:rFonts w:ascii="Times New Roman" w:hAnsi="Times New Roman" w:cs="Times New Roman"/>
          <w:color w:val="000000" w:themeColor="text1"/>
          <w:sz w:val="24"/>
          <w:szCs w:val="24"/>
        </w:rPr>
        <w:lastRenderedPageBreak/>
        <w:t>occur in the gut microbiomes</w:t>
      </w:r>
      <w:r w:rsidRPr="00036DDE">
        <w:rPr>
          <w:rFonts w:ascii="Times New Roman" w:hAnsi="Times New Roman" w:cs="Times New Roman"/>
          <w:color w:val="000000" w:themeColor="text1"/>
          <w:sz w:val="24"/>
          <w:szCs w:val="24"/>
        </w:rPr>
        <w:t xml:space="preserve"> influences the </w:t>
      </w:r>
      <w:r w:rsidR="00B31A33" w:rsidRPr="00036DDE">
        <w:rPr>
          <w:rFonts w:ascii="Times New Roman" w:hAnsi="Times New Roman" w:cs="Times New Roman"/>
          <w:color w:val="000000" w:themeColor="text1"/>
          <w:sz w:val="24"/>
          <w:szCs w:val="24"/>
        </w:rPr>
        <w:t>treatment and prevention of neurological conditions. The developme</w:t>
      </w:r>
      <w:r w:rsidR="00EC26B3">
        <w:rPr>
          <w:rFonts w:ascii="Times New Roman" w:hAnsi="Times New Roman" w:cs="Times New Roman"/>
          <w:color w:val="000000" w:themeColor="text1"/>
          <w:sz w:val="24"/>
          <w:szCs w:val="24"/>
        </w:rPr>
        <w:t xml:space="preserve">ntal process in humans imparts knowledge on </w:t>
      </w:r>
      <w:r w:rsidR="00B31A33" w:rsidRPr="00036DDE">
        <w:rPr>
          <w:rFonts w:ascii="Times New Roman" w:hAnsi="Times New Roman" w:cs="Times New Roman"/>
          <w:color w:val="000000" w:themeColor="text1"/>
          <w:sz w:val="24"/>
          <w:szCs w:val="24"/>
        </w:rPr>
        <w:t>the connection between the brain and the gut microorganisms. The microorganisms present in the gut are essential in transmit</w:t>
      </w:r>
      <w:r w:rsidR="00890C41">
        <w:rPr>
          <w:rFonts w:ascii="Times New Roman" w:hAnsi="Times New Roman" w:cs="Times New Roman"/>
          <w:color w:val="000000" w:themeColor="text1"/>
          <w:sz w:val="24"/>
          <w:szCs w:val="24"/>
        </w:rPr>
        <w:t xml:space="preserve">ting a </w:t>
      </w:r>
      <w:r w:rsidR="00B31A33" w:rsidRPr="00036DDE">
        <w:rPr>
          <w:rFonts w:ascii="Times New Roman" w:hAnsi="Times New Roman" w:cs="Times New Roman"/>
          <w:color w:val="000000" w:themeColor="text1"/>
          <w:sz w:val="24"/>
          <w:szCs w:val="24"/>
        </w:rPr>
        <w:t>communication to the brain through an indirect and direct mechanism. As much as the organism plays a role in the wellbeing of humanity, they are also significant in the prevention and treatment of Alzheimer's disease.</w:t>
      </w:r>
    </w:p>
    <w:p w:rsidR="0083682B" w:rsidRPr="00036DDE" w:rsidRDefault="002921B9" w:rsidP="00036DDE">
      <w:pPr>
        <w:spacing w:after="0" w:line="480" w:lineRule="auto"/>
        <w:ind w:firstLine="720"/>
        <w:jc w:val="center"/>
        <w:rPr>
          <w:rFonts w:ascii="Times New Roman" w:hAnsi="Times New Roman" w:cs="Times New Roman"/>
          <w:b/>
          <w:color w:val="000000" w:themeColor="text1"/>
          <w:sz w:val="24"/>
          <w:szCs w:val="24"/>
        </w:rPr>
      </w:pPr>
      <w:r w:rsidRPr="00036DDE">
        <w:rPr>
          <w:rFonts w:ascii="Times New Roman" w:hAnsi="Times New Roman" w:cs="Times New Roman"/>
          <w:b/>
          <w:color w:val="000000" w:themeColor="text1"/>
          <w:sz w:val="24"/>
          <w:szCs w:val="24"/>
        </w:rPr>
        <w:t>Background Information</w:t>
      </w:r>
    </w:p>
    <w:p w:rsidR="00B31A33" w:rsidRPr="00036DDE" w:rsidRDefault="002921B9"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Alzheimer</w:t>
      </w:r>
      <w:r w:rsidR="00A30187">
        <w:rPr>
          <w:rFonts w:ascii="Times New Roman" w:hAnsi="Times New Roman" w:cs="Times New Roman"/>
          <w:color w:val="000000" w:themeColor="text1"/>
          <w:sz w:val="24"/>
          <w:szCs w:val="24"/>
        </w:rPr>
        <w:t>'</w:t>
      </w:r>
      <w:r w:rsidRPr="00036DDE">
        <w:rPr>
          <w:rFonts w:ascii="Times New Roman" w:hAnsi="Times New Roman" w:cs="Times New Roman"/>
          <w:color w:val="000000" w:themeColor="text1"/>
          <w:sz w:val="24"/>
          <w:szCs w:val="24"/>
        </w:rPr>
        <w:t>s disease (AD) is an irreversible bra</w:t>
      </w:r>
      <w:r w:rsidR="00731297" w:rsidRPr="00036DDE">
        <w:rPr>
          <w:rFonts w:ascii="Times New Roman" w:hAnsi="Times New Roman" w:cs="Times New Roman"/>
          <w:color w:val="000000" w:themeColor="text1"/>
          <w:sz w:val="24"/>
          <w:szCs w:val="24"/>
        </w:rPr>
        <w:t xml:space="preserve">in disease which is destroys thinking, memory, and the ability of people to carry out tasks. The condition occurs following the degeneration of brain tissues. This disease is acknowledged for the cause of dementia in old age. AD's clinical manifestation includes a change of behavior, speech problems, and memory loss. The prevalence of AD is increasing consistently among the aging population, which creates a lot of attention for researchers. Up to 80% of dementia cases are linked to AD (Weller, 2018). The mortality of people from cardiac diseases and stroke is high concerning AD. </w:t>
      </w:r>
      <w:r w:rsidR="001771B9" w:rsidRPr="00036DDE">
        <w:rPr>
          <w:rFonts w:ascii="Times New Roman" w:hAnsi="Times New Roman" w:cs="Times New Roman"/>
          <w:color w:val="000000" w:themeColor="text1"/>
          <w:sz w:val="24"/>
          <w:szCs w:val="24"/>
        </w:rPr>
        <w:t>In the US, the estimated amount of money channeled towards treating AD is $500 billion per year. The diagnostic procedures involved in AD include postmortem assessment of the brain tissues via positron emission tomography (PET) and Cerebrospinal fluid (CSF) biomarkers, which are combined with other criteria. The treatment modalities available for AD include memantine in severe to moderate AD and cholinesterase inhibitors in patients with dementia in AD. The change in gut microbes is essential in the prevention and treatment of this disease.  The changing of gut microbes is done through the use of antibiotics</w:t>
      </w:r>
      <w:r w:rsidR="00890C41">
        <w:rPr>
          <w:rFonts w:ascii="Times New Roman" w:hAnsi="Times New Roman" w:cs="Times New Roman"/>
          <w:color w:val="000000" w:themeColor="text1"/>
          <w:sz w:val="24"/>
          <w:szCs w:val="24"/>
        </w:rPr>
        <w:t xml:space="preserve"> and probiotics</w:t>
      </w:r>
      <w:r w:rsidR="001771B9" w:rsidRPr="00036DDE">
        <w:rPr>
          <w:rFonts w:ascii="Times New Roman" w:hAnsi="Times New Roman" w:cs="Times New Roman"/>
          <w:color w:val="000000" w:themeColor="text1"/>
          <w:sz w:val="24"/>
          <w:szCs w:val="24"/>
        </w:rPr>
        <w:t xml:space="preserve">, which enhances the treatment of the disease. </w:t>
      </w:r>
    </w:p>
    <w:p w:rsidR="001A6FBC" w:rsidRDefault="002921B9"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lastRenderedPageBreak/>
        <w:t xml:space="preserve">The various species of microbiomes in the gut influences the development and physiology of people as well as maintaining their health status. The gut microbiomes are known to be important in maintaining the PH of the gastrointestinal system, thus creating a protective barrier against infections. The probiotic microorganisms, which are considered to be beneficial, are essential in enhancing the immune system in the body. The benefits of the microbiomes are experienced when there is the maintenance of equilibrium. However, the gut microbes and the CNS are linked by the </w:t>
      </w:r>
      <w:r w:rsidR="00805D76" w:rsidRPr="00036DDE">
        <w:rPr>
          <w:rFonts w:ascii="Times New Roman" w:hAnsi="Times New Roman" w:cs="Times New Roman"/>
          <w:color w:val="000000" w:themeColor="text1"/>
          <w:sz w:val="24"/>
          <w:szCs w:val="24"/>
        </w:rPr>
        <w:t xml:space="preserve">chemical substances and the </w:t>
      </w:r>
      <w:r w:rsidRPr="00036DDE">
        <w:rPr>
          <w:rFonts w:ascii="Times New Roman" w:hAnsi="Times New Roman" w:cs="Times New Roman"/>
          <w:color w:val="000000" w:themeColor="text1"/>
          <w:sz w:val="24"/>
          <w:szCs w:val="24"/>
        </w:rPr>
        <w:t>nervous system</w:t>
      </w:r>
      <w:r w:rsidR="00805D76" w:rsidRPr="00036DDE">
        <w:rPr>
          <w:rFonts w:ascii="Times New Roman" w:hAnsi="Times New Roman" w:cs="Times New Roman"/>
          <w:color w:val="000000" w:themeColor="text1"/>
          <w:sz w:val="24"/>
          <w:szCs w:val="24"/>
        </w:rPr>
        <w:t>. The vagus nerve connects the CNS and the neurons in the intestines. The bacteria in the gut release substances (amino acids and monoamines), which reach the central neurons via the vascular and lymphatic system and impacts their activities</w:t>
      </w:r>
      <w:r w:rsidR="007E1A7D" w:rsidRPr="00036DDE">
        <w:rPr>
          <w:rFonts w:ascii="Times New Roman" w:hAnsi="Times New Roman" w:cs="Times New Roman"/>
          <w:color w:val="000000" w:themeColor="text1"/>
          <w:sz w:val="24"/>
          <w:szCs w:val="24"/>
        </w:rPr>
        <w:t xml:space="preserve"> (Angelucci et al., 2019)</w:t>
      </w:r>
      <w:r w:rsidR="00805D76" w:rsidRPr="00036DDE">
        <w:rPr>
          <w:rFonts w:ascii="Times New Roman" w:hAnsi="Times New Roman" w:cs="Times New Roman"/>
          <w:color w:val="000000" w:themeColor="text1"/>
          <w:sz w:val="24"/>
          <w:szCs w:val="24"/>
        </w:rPr>
        <w:t>. The process by which the gut microbes control the microb</w:t>
      </w:r>
      <w:r w:rsidR="00A40095">
        <w:rPr>
          <w:rFonts w:ascii="Times New Roman" w:hAnsi="Times New Roman" w:cs="Times New Roman"/>
          <w:color w:val="000000" w:themeColor="text1"/>
          <w:sz w:val="24"/>
          <w:szCs w:val="24"/>
        </w:rPr>
        <w:t xml:space="preserve">iome's gut-brain axis (MGBA) </w:t>
      </w:r>
      <w:r w:rsidR="00805D76" w:rsidRPr="00036DDE">
        <w:rPr>
          <w:rFonts w:ascii="Times New Roman" w:hAnsi="Times New Roman" w:cs="Times New Roman"/>
          <w:color w:val="000000" w:themeColor="text1"/>
          <w:sz w:val="24"/>
          <w:szCs w:val="24"/>
        </w:rPr>
        <w:t>have various impacts on the CNS.</w:t>
      </w:r>
      <w:r w:rsidR="00283B87" w:rsidRPr="00036DDE">
        <w:rPr>
          <w:rFonts w:ascii="Times New Roman" w:hAnsi="Times New Roman" w:cs="Times New Roman"/>
          <w:color w:val="000000" w:themeColor="text1"/>
          <w:sz w:val="24"/>
          <w:szCs w:val="24"/>
        </w:rPr>
        <w:t xml:space="preserve"> The microorganisms in the gut can manufacture and discharge neurotransmitters and modulators, including biogenic amines such as dopamine, histamine, and serotonin and short-chain fatty acids (SCFAs). These chemicals released by the microbes enhance and regulates the activity of the brain. Also, these microbes are involved in producing toxic constituents that can damage the brain (Angelucci et al., 2019). The neurotoxic substances released by these microbiomes include ammonia and D-lactic acid. During inflammation, the microorganisms in the gut produce harmful proteins to the brain, including innate activators and pro-inflammatory cytokines. The microbiomes affect the MBGA through neuroendocrine, immunological, and neural mechanisms. </w:t>
      </w:r>
      <w:r w:rsidR="00174FF5" w:rsidRPr="00036DDE">
        <w:rPr>
          <w:rFonts w:ascii="Times New Roman" w:hAnsi="Times New Roman" w:cs="Times New Roman"/>
          <w:color w:val="000000" w:themeColor="text1"/>
          <w:sz w:val="24"/>
          <w:szCs w:val="24"/>
        </w:rPr>
        <w:t>The change of these microbes leads to an impact on the brain, which is very important in the treatment of the disease.</w:t>
      </w:r>
    </w:p>
    <w:p w:rsidR="00890C41" w:rsidRDefault="00890C41" w:rsidP="00036DDE">
      <w:pPr>
        <w:spacing w:after="0" w:line="480" w:lineRule="auto"/>
        <w:ind w:firstLine="720"/>
        <w:rPr>
          <w:rFonts w:ascii="Times New Roman" w:hAnsi="Times New Roman" w:cs="Times New Roman"/>
          <w:color w:val="000000" w:themeColor="text1"/>
          <w:sz w:val="24"/>
          <w:szCs w:val="24"/>
        </w:rPr>
      </w:pPr>
    </w:p>
    <w:p w:rsidR="00890C41" w:rsidRPr="00036DDE" w:rsidRDefault="00890C41" w:rsidP="00036DDE">
      <w:pPr>
        <w:spacing w:after="0" w:line="480" w:lineRule="auto"/>
        <w:ind w:firstLine="720"/>
        <w:rPr>
          <w:rFonts w:ascii="Times New Roman" w:hAnsi="Times New Roman" w:cs="Times New Roman"/>
          <w:color w:val="000000" w:themeColor="text1"/>
          <w:sz w:val="24"/>
          <w:szCs w:val="24"/>
        </w:rPr>
      </w:pPr>
    </w:p>
    <w:p w:rsidR="00A40095" w:rsidRDefault="00A40095" w:rsidP="00036DDE">
      <w:pPr>
        <w:spacing w:after="0" w:line="480" w:lineRule="auto"/>
        <w:ind w:firstLine="720"/>
        <w:jc w:val="center"/>
        <w:rPr>
          <w:rFonts w:ascii="Times New Roman" w:hAnsi="Times New Roman" w:cs="Times New Roman"/>
          <w:b/>
          <w:color w:val="000000" w:themeColor="text1"/>
          <w:sz w:val="24"/>
          <w:szCs w:val="24"/>
        </w:rPr>
      </w:pPr>
    </w:p>
    <w:p w:rsidR="00174FF5" w:rsidRPr="00036DDE" w:rsidRDefault="002921B9" w:rsidP="00036DDE">
      <w:pPr>
        <w:spacing w:after="0" w:line="480" w:lineRule="auto"/>
        <w:ind w:firstLine="720"/>
        <w:jc w:val="center"/>
        <w:rPr>
          <w:rFonts w:ascii="Times New Roman" w:hAnsi="Times New Roman" w:cs="Times New Roman"/>
          <w:b/>
          <w:color w:val="000000" w:themeColor="text1"/>
          <w:sz w:val="24"/>
          <w:szCs w:val="24"/>
        </w:rPr>
      </w:pPr>
      <w:r w:rsidRPr="00036DDE">
        <w:rPr>
          <w:rFonts w:ascii="Times New Roman" w:hAnsi="Times New Roman" w:cs="Times New Roman"/>
          <w:b/>
          <w:color w:val="000000" w:themeColor="text1"/>
          <w:sz w:val="24"/>
          <w:szCs w:val="24"/>
        </w:rPr>
        <w:lastRenderedPageBreak/>
        <w:t>Literature Review</w:t>
      </w:r>
    </w:p>
    <w:p w:rsidR="00174FF5" w:rsidRPr="00036DDE" w:rsidRDefault="002921B9"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Various studies reveal that the change of gut microbiomes is essential in the treatment of AD. Various researchers have been interested in this study because of the impact it has on the population, especially the older individuals who have suffered from this disease. For a long time, the condition has been known to be permanent damage to the brain without treatment modalities. Therefore, the study of gut microbiomes in the treatment and prevention of the disease is of great importance to solve the problems associated with the disease.</w:t>
      </w:r>
    </w:p>
    <w:p w:rsidR="00174FF5" w:rsidRPr="00036DDE" w:rsidRDefault="002921B9"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 xml:space="preserve">Probiotic supplements are significant in enhancing the treatment of cognitive and metabolic dysfunction in AD. A study was conducted by Akbari et al. (2016) to evaluate the impact of probiotic supplementation on the cognitive function and the metabolic status in the AD. This study was a randomized, double-blind, and controlled trial. The research was done among 60 participants </w:t>
      </w:r>
      <w:r w:rsidR="00141660" w:rsidRPr="00036DDE">
        <w:rPr>
          <w:rFonts w:ascii="Times New Roman" w:hAnsi="Times New Roman" w:cs="Times New Roman"/>
          <w:color w:val="000000" w:themeColor="text1"/>
          <w:sz w:val="24"/>
          <w:szCs w:val="24"/>
        </w:rPr>
        <w:t xml:space="preserve">60-95 years and was divided into control and study groups of 30 participants each. The control group was given milk, and the probiotic group was offered milk, which had a mixture of probiotic elements for 12 weeks. The participants were requested to avoid supplements during those 12 weeks and to maintain regular physical activity. The probiotic group was given 200ml of probiotic milk containing </w:t>
      </w:r>
      <w:r w:rsidR="00141660" w:rsidRPr="00036DDE">
        <w:rPr>
          <w:rFonts w:ascii="Times New Roman" w:hAnsi="Times New Roman" w:cs="Times New Roman"/>
          <w:i/>
          <w:color w:val="000000" w:themeColor="text1"/>
          <w:sz w:val="24"/>
          <w:szCs w:val="24"/>
        </w:rPr>
        <w:t xml:space="preserve">Lactobacillus fermentum, Bifidobacterium bifidum, Lactobacillus casei, and Lactobacillus acidophilus. </w:t>
      </w:r>
      <w:r w:rsidR="00141660" w:rsidRPr="00036DDE">
        <w:rPr>
          <w:rFonts w:ascii="Times New Roman" w:hAnsi="Times New Roman" w:cs="Times New Roman"/>
          <w:color w:val="000000" w:themeColor="text1"/>
          <w:sz w:val="24"/>
          <w:szCs w:val="24"/>
        </w:rPr>
        <w:t>The probi</w:t>
      </w:r>
      <w:r w:rsidR="00CD487C" w:rsidRPr="00036DDE">
        <w:rPr>
          <w:rFonts w:ascii="Times New Roman" w:hAnsi="Times New Roman" w:cs="Times New Roman"/>
          <w:color w:val="000000" w:themeColor="text1"/>
          <w:sz w:val="24"/>
          <w:szCs w:val="24"/>
        </w:rPr>
        <w:t>otic strains that were used are</w:t>
      </w:r>
      <w:r w:rsidR="00141660" w:rsidRPr="00036DDE">
        <w:rPr>
          <w:rFonts w:ascii="Times New Roman" w:hAnsi="Times New Roman" w:cs="Times New Roman"/>
          <w:color w:val="000000" w:themeColor="text1"/>
          <w:sz w:val="24"/>
          <w:szCs w:val="24"/>
        </w:rPr>
        <w:t xml:space="preserve"> from host origin and had a beneficial impact on the host, which could stand high count foodstuffs, colonize the intestinal lumen, and are technologically appropriate for production.</w:t>
      </w:r>
    </w:p>
    <w:p w:rsidR="00174FF5" w:rsidRPr="00036DDE" w:rsidRDefault="00141660"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The MMSE cognitive tests were performed to every participant. The blood was</w:t>
      </w:r>
      <w:r w:rsidR="003B7ECB" w:rsidRPr="00036DDE">
        <w:rPr>
          <w:rFonts w:ascii="Times New Roman" w:hAnsi="Times New Roman" w:cs="Times New Roman"/>
          <w:color w:val="000000" w:themeColor="text1"/>
          <w:sz w:val="24"/>
          <w:szCs w:val="24"/>
        </w:rPr>
        <w:t xml:space="preserve"> also evaluated </w:t>
      </w:r>
      <w:r w:rsidRPr="00036DDE">
        <w:rPr>
          <w:rFonts w:ascii="Times New Roman" w:hAnsi="Times New Roman" w:cs="Times New Roman"/>
          <w:color w:val="000000" w:themeColor="text1"/>
          <w:sz w:val="24"/>
          <w:szCs w:val="24"/>
        </w:rPr>
        <w:t xml:space="preserve">for the </w:t>
      </w:r>
      <w:r w:rsidR="003B7ECB" w:rsidRPr="00036DDE">
        <w:rPr>
          <w:rFonts w:ascii="Times New Roman" w:hAnsi="Times New Roman" w:cs="Times New Roman"/>
          <w:color w:val="000000" w:themeColor="text1"/>
          <w:sz w:val="24"/>
          <w:szCs w:val="24"/>
        </w:rPr>
        <w:t xml:space="preserve">status of the biomarkers. Comparisons were made for the two groups concerning their post-treatment changes. The study found that probiotic treatment did not affect the biomarkers of inflammation and oxidative stress, fasting glucose, and lipid outlines. </w:t>
      </w:r>
      <w:r w:rsidR="003B7ECB" w:rsidRPr="00036DDE">
        <w:rPr>
          <w:rFonts w:ascii="Times New Roman" w:hAnsi="Times New Roman" w:cs="Times New Roman"/>
          <w:color w:val="000000" w:themeColor="text1"/>
          <w:sz w:val="24"/>
          <w:szCs w:val="24"/>
        </w:rPr>
        <w:lastRenderedPageBreak/>
        <w:t xml:space="preserve">However, the results of the study suggest that consumption of probiotic for 12 weeks affects cognitive functioning and metabolic status in the AD patients. The study concludes that the administration of probiotics for 12 weeks is essential for the improvement of cognitive functioning, triglyceride level, and development of insulin metabolism in patients with AD. This research provides a piece of critical information that can be used in the treatment of AD. </w:t>
      </w:r>
      <w:r w:rsidR="008875BC" w:rsidRPr="00036DDE">
        <w:rPr>
          <w:rFonts w:ascii="Times New Roman" w:hAnsi="Times New Roman" w:cs="Times New Roman"/>
          <w:color w:val="000000" w:themeColor="text1"/>
          <w:sz w:val="24"/>
          <w:szCs w:val="24"/>
        </w:rPr>
        <w:t xml:space="preserve">This study is acknowledged as the first research to provide helpful information on the benefits of probiotic supplements to boost cognitive functioning, biomarkers of inflammation, oxidative stress, and metabolic importance on the AD patients. AD has been the treatment of symptoms for a long time. The use of drugs has been used, such as anticholinesterase drugs, which have been documented to have a low outcome (Weller, 2018). Therefore, this study offers valuable information on the management of the disease regarding cognitive and metabolism. The research shows that probiotics supplements can be used effectively to treat cognitive functioning in AD. </w:t>
      </w:r>
      <w:r w:rsidR="00073B25" w:rsidRPr="00036DDE">
        <w:rPr>
          <w:rFonts w:ascii="Times New Roman" w:hAnsi="Times New Roman" w:cs="Times New Roman"/>
          <w:color w:val="000000" w:themeColor="text1"/>
          <w:sz w:val="24"/>
          <w:szCs w:val="24"/>
        </w:rPr>
        <w:t>Metabolism is another problem that is associated with CNS dysfunction in AD. The treatment of metabolism disorder is essential in AD is vital to ensure that the people who are affected can ingest and digest food.</w:t>
      </w:r>
    </w:p>
    <w:p w:rsidR="00174FF5" w:rsidRPr="00036DDE" w:rsidRDefault="002921B9"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Also, the inflammatory process in the gut leads to the actions of the microbiomes that can be useful in counteracting AD. Cerovic, Fortoni &amp; Balducci (2010) explains how the relationship between the microbiota and neuro-inflammatory can create an alternative treatment to prevent the AD. Neuro-inflammation plays a</w:t>
      </w:r>
      <w:r w:rsidR="00A40095">
        <w:rPr>
          <w:rFonts w:ascii="Times New Roman" w:hAnsi="Times New Roman" w:cs="Times New Roman"/>
          <w:color w:val="000000" w:themeColor="text1"/>
          <w:sz w:val="24"/>
          <w:szCs w:val="24"/>
        </w:rPr>
        <w:t xml:space="preserve"> </w:t>
      </w:r>
      <w:r w:rsidRPr="00036DDE">
        <w:rPr>
          <w:rFonts w:ascii="Times New Roman" w:hAnsi="Times New Roman" w:cs="Times New Roman"/>
          <w:color w:val="000000" w:themeColor="text1"/>
          <w:sz w:val="24"/>
          <w:szCs w:val="24"/>
        </w:rPr>
        <w:t xml:space="preserve">vital role in the pathogenesis of AD. The glial cells are involved in the control of the development of the brain. </w:t>
      </w:r>
      <w:r w:rsidR="00C40A89" w:rsidRPr="00036DDE">
        <w:rPr>
          <w:rFonts w:ascii="Times New Roman" w:hAnsi="Times New Roman" w:cs="Times New Roman"/>
          <w:color w:val="000000" w:themeColor="text1"/>
          <w:sz w:val="24"/>
          <w:szCs w:val="24"/>
        </w:rPr>
        <w:t>The microglia are responsible for protecting the brain against microbial invasion. The microglia respond to brain damage, viral or bacterial infections, which eliminates the harmful stimuli in the brain that causes neuro</w:t>
      </w:r>
      <w:r w:rsidR="00A40095">
        <w:rPr>
          <w:rFonts w:ascii="Times New Roman" w:hAnsi="Times New Roman" w:cs="Times New Roman"/>
          <w:color w:val="000000" w:themeColor="text1"/>
          <w:sz w:val="24"/>
          <w:szCs w:val="24"/>
        </w:rPr>
        <w:t>-</w:t>
      </w:r>
      <w:r w:rsidR="00C40A89" w:rsidRPr="00036DDE">
        <w:rPr>
          <w:rFonts w:ascii="Times New Roman" w:hAnsi="Times New Roman" w:cs="Times New Roman"/>
          <w:color w:val="000000" w:themeColor="text1"/>
          <w:sz w:val="24"/>
          <w:szCs w:val="24"/>
        </w:rPr>
        <w:t xml:space="preserve">inflammation. In AD, the neuro-inflammation is not resolved. The pro-inflammatory cytokines </w:t>
      </w:r>
      <w:r w:rsidR="00C40A89" w:rsidRPr="00036DDE">
        <w:rPr>
          <w:rFonts w:ascii="Times New Roman" w:hAnsi="Times New Roman" w:cs="Times New Roman"/>
          <w:color w:val="000000" w:themeColor="text1"/>
          <w:sz w:val="24"/>
          <w:szCs w:val="24"/>
        </w:rPr>
        <w:lastRenderedPageBreak/>
        <w:t xml:space="preserve">are released by the microglia, which causes neuronal cell death. </w:t>
      </w:r>
      <w:r w:rsidR="00954F4D" w:rsidRPr="00036DDE">
        <w:rPr>
          <w:rFonts w:ascii="Times New Roman" w:hAnsi="Times New Roman" w:cs="Times New Roman"/>
          <w:color w:val="000000" w:themeColor="text1"/>
          <w:sz w:val="24"/>
          <w:szCs w:val="24"/>
        </w:rPr>
        <w:t xml:space="preserve">Continuous communication is needed to maintain homeostasis between the enteric and central nervous systems. The axis of the brain and the gut is mediated by the immune and endocrine signals. The gut microorganisms are recognized to play significant roles in the </w:t>
      </w:r>
      <w:r w:rsidR="00176013" w:rsidRPr="00036DDE">
        <w:rPr>
          <w:rFonts w:ascii="Times New Roman" w:hAnsi="Times New Roman" w:cs="Times New Roman"/>
          <w:color w:val="000000" w:themeColor="text1"/>
          <w:sz w:val="24"/>
          <w:szCs w:val="24"/>
        </w:rPr>
        <w:t xml:space="preserve">brain-gut axis. Cerovic, Fortoni &amp; Balducci (2010) </w:t>
      </w:r>
      <w:r w:rsidR="00A40095">
        <w:rPr>
          <w:rFonts w:ascii="Times New Roman" w:hAnsi="Times New Roman" w:cs="Times New Roman"/>
          <w:color w:val="000000" w:themeColor="text1"/>
          <w:sz w:val="24"/>
          <w:szCs w:val="24"/>
        </w:rPr>
        <w:t xml:space="preserve">assert </w:t>
      </w:r>
      <w:r w:rsidR="00176013" w:rsidRPr="00036DDE">
        <w:rPr>
          <w:rFonts w:ascii="Times New Roman" w:hAnsi="Times New Roman" w:cs="Times New Roman"/>
          <w:color w:val="000000" w:themeColor="text1"/>
          <w:sz w:val="24"/>
          <w:szCs w:val="24"/>
        </w:rPr>
        <w:t>that the antibiotic-treated and germ-free rodents are necessary tools used to study the effect of gut microbiomes on the development of CNS. The microbiota has a significant impact on the development of CNS and the behavior of people. In AD, the link between neur</w:t>
      </w:r>
      <w:r w:rsidR="00B246BB" w:rsidRPr="00036DDE">
        <w:rPr>
          <w:rFonts w:ascii="Times New Roman" w:hAnsi="Times New Roman" w:cs="Times New Roman"/>
          <w:color w:val="000000" w:themeColor="text1"/>
          <w:sz w:val="24"/>
          <w:szCs w:val="24"/>
        </w:rPr>
        <w:t>o</w:t>
      </w:r>
      <w:r w:rsidR="00A40095">
        <w:rPr>
          <w:rFonts w:ascii="Times New Roman" w:hAnsi="Times New Roman" w:cs="Times New Roman"/>
          <w:color w:val="000000" w:themeColor="text1"/>
          <w:sz w:val="24"/>
          <w:szCs w:val="24"/>
        </w:rPr>
        <w:t>-</w:t>
      </w:r>
      <w:r w:rsidR="00B246BB" w:rsidRPr="00036DDE">
        <w:rPr>
          <w:rFonts w:ascii="Times New Roman" w:hAnsi="Times New Roman" w:cs="Times New Roman"/>
          <w:color w:val="000000" w:themeColor="text1"/>
          <w:sz w:val="24"/>
          <w:szCs w:val="24"/>
        </w:rPr>
        <w:t>degeneration and gut dysbiosis is substantial, which is essential in the treatment of AD. Increased level of microbiomes leads to altered levels of CSF biomarkers in AD.</w:t>
      </w:r>
    </w:p>
    <w:p w:rsidR="00174FF5" w:rsidRPr="00036DDE" w:rsidRDefault="00B246BB"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 xml:space="preserve">The alteration of the microbiomes impacts the neurodegenerative process. The microbes are the primary source of </w:t>
      </w:r>
      <w:r w:rsidR="009833C5" w:rsidRPr="00036DDE">
        <w:rPr>
          <w:rFonts w:ascii="Times New Roman" w:hAnsi="Times New Roman" w:cs="Times New Roman"/>
          <w:color w:val="000000" w:themeColor="text1"/>
          <w:sz w:val="24"/>
          <w:szCs w:val="24"/>
        </w:rPr>
        <w:t xml:space="preserve">endotoxins, </w:t>
      </w:r>
      <w:r w:rsidRPr="00036DDE">
        <w:rPr>
          <w:rFonts w:ascii="Times New Roman" w:hAnsi="Times New Roman" w:cs="Times New Roman"/>
          <w:color w:val="000000" w:themeColor="text1"/>
          <w:sz w:val="24"/>
          <w:szCs w:val="24"/>
        </w:rPr>
        <w:t>pro-inflammatory, and lipo</w:t>
      </w:r>
      <w:r w:rsidR="00A40095">
        <w:rPr>
          <w:rFonts w:ascii="Times New Roman" w:hAnsi="Times New Roman" w:cs="Times New Roman"/>
          <w:color w:val="000000" w:themeColor="text1"/>
          <w:sz w:val="24"/>
          <w:szCs w:val="24"/>
        </w:rPr>
        <w:t>-</w:t>
      </w:r>
      <w:r w:rsidRPr="00036DDE">
        <w:rPr>
          <w:rFonts w:ascii="Times New Roman" w:hAnsi="Times New Roman" w:cs="Times New Roman"/>
          <w:color w:val="000000" w:themeColor="text1"/>
          <w:sz w:val="24"/>
          <w:szCs w:val="24"/>
        </w:rPr>
        <w:t xml:space="preserve">polysaccharides </w:t>
      </w:r>
      <w:r w:rsidR="009833C5" w:rsidRPr="00036DDE">
        <w:rPr>
          <w:rFonts w:ascii="Times New Roman" w:hAnsi="Times New Roman" w:cs="Times New Roman"/>
          <w:color w:val="000000" w:themeColor="text1"/>
          <w:sz w:val="24"/>
          <w:szCs w:val="24"/>
        </w:rPr>
        <w:t>molecules. The brain of AD patients has more bacteria and lipo</w:t>
      </w:r>
      <w:r w:rsidR="00A40095">
        <w:rPr>
          <w:rFonts w:ascii="Times New Roman" w:hAnsi="Times New Roman" w:cs="Times New Roman"/>
          <w:color w:val="000000" w:themeColor="text1"/>
          <w:sz w:val="24"/>
          <w:szCs w:val="24"/>
        </w:rPr>
        <w:t>-</w:t>
      </w:r>
      <w:r w:rsidR="009833C5" w:rsidRPr="00036DDE">
        <w:rPr>
          <w:rFonts w:ascii="Times New Roman" w:hAnsi="Times New Roman" w:cs="Times New Roman"/>
          <w:color w:val="000000" w:themeColor="text1"/>
          <w:sz w:val="24"/>
          <w:szCs w:val="24"/>
        </w:rPr>
        <w:t xml:space="preserve">polysaccharides. The components that are initiated in mind by microbiomes influences the neuro-inflammatory process.  The gut microbiomes in AD are less affected by environmental changes such as antibiotics and stress. Therefore, patients are vulnerable to changes in the microbiomes and opportunistic organisms. The information provided by Cerovic, Fortoni &amp; Balducci (2010) is in line with the information provided by Akbari et al. (2016), which reveals that probiotics are essential in changing the microbiomes in the gut thus enhancing the treatment of people with </w:t>
      </w:r>
      <w:r w:rsidR="00752B37" w:rsidRPr="00036DDE">
        <w:rPr>
          <w:rFonts w:ascii="Times New Roman" w:hAnsi="Times New Roman" w:cs="Times New Roman"/>
          <w:color w:val="000000" w:themeColor="text1"/>
          <w:sz w:val="24"/>
          <w:szCs w:val="24"/>
        </w:rPr>
        <w:t>AD. The change in gut microorganisms leads to the management of gastrointestinal and motor problems in AD. Also, the use of antibiotics has been mentioned to be important in altering the composition of the gut microbiomes, which has been proved by research to be effective in the treatment of AD.</w:t>
      </w:r>
    </w:p>
    <w:p w:rsidR="00E829B1" w:rsidRDefault="002921B9"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 xml:space="preserve">Besides, the brain-gut-microbiota axis is significant in the treatment of AD. </w:t>
      </w:r>
      <w:r w:rsidR="009B4537" w:rsidRPr="00036DDE">
        <w:rPr>
          <w:rFonts w:ascii="Times New Roman" w:hAnsi="Times New Roman" w:cs="Times New Roman"/>
          <w:color w:val="000000" w:themeColor="text1"/>
          <w:sz w:val="24"/>
          <w:szCs w:val="24"/>
        </w:rPr>
        <w:t xml:space="preserve">Kowalski &amp; Mulak (2019) explain in their article how the alteration of the axle can produce a significant </w:t>
      </w:r>
      <w:r w:rsidR="009B4537" w:rsidRPr="00036DDE">
        <w:rPr>
          <w:rFonts w:ascii="Times New Roman" w:hAnsi="Times New Roman" w:cs="Times New Roman"/>
          <w:color w:val="000000" w:themeColor="text1"/>
          <w:sz w:val="24"/>
          <w:szCs w:val="24"/>
        </w:rPr>
        <w:lastRenderedPageBreak/>
        <w:t xml:space="preserve">impact that can be used in the treatment of AD. </w:t>
      </w:r>
      <w:r w:rsidRPr="00036DDE">
        <w:rPr>
          <w:rFonts w:ascii="Times New Roman" w:hAnsi="Times New Roman" w:cs="Times New Roman"/>
          <w:color w:val="000000" w:themeColor="text1"/>
          <w:sz w:val="24"/>
          <w:szCs w:val="24"/>
        </w:rPr>
        <w:t xml:space="preserve">The change of the axis is substantial in contributing the neuro-generative pathogenesis disorders. </w:t>
      </w:r>
      <w:r w:rsidR="00944324" w:rsidRPr="00036DDE">
        <w:rPr>
          <w:rFonts w:ascii="Times New Roman" w:hAnsi="Times New Roman" w:cs="Times New Roman"/>
          <w:color w:val="000000" w:themeColor="text1"/>
          <w:sz w:val="24"/>
          <w:szCs w:val="24"/>
        </w:rPr>
        <w:t>The interaction between the gut and the brain is influenced dramatically by the gut microbiomes from the early stages of life to the point of neuro</w:t>
      </w:r>
      <w:r w:rsidR="00A40095">
        <w:rPr>
          <w:rFonts w:ascii="Times New Roman" w:hAnsi="Times New Roman" w:cs="Times New Roman"/>
          <w:color w:val="000000" w:themeColor="text1"/>
          <w:sz w:val="24"/>
          <w:szCs w:val="24"/>
        </w:rPr>
        <w:t>-</w:t>
      </w:r>
      <w:r w:rsidR="00944324" w:rsidRPr="00036DDE">
        <w:rPr>
          <w:rFonts w:ascii="Times New Roman" w:hAnsi="Times New Roman" w:cs="Times New Roman"/>
          <w:color w:val="000000" w:themeColor="text1"/>
          <w:sz w:val="24"/>
          <w:szCs w:val="24"/>
        </w:rPr>
        <w:t>degeneration. The significance of the effects of microbiota is termed as the brain-gut-microbiota axis. The axis is initiated metabolic, endocrine, immune, and neural signaling. The stimulation of the im</w:t>
      </w:r>
      <w:r w:rsidR="00A40095">
        <w:rPr>
          <w:rFonts w:ascii="Times New Roman" w:hAnsi="Times New Roman" w:cs="Times New Roman"/>
          <w:color w:val="000000" w:themeColor="text1"/>
          <w:sz w:val="24"/>
          <w:szCs w:val="24"/>
        </w:rPr>
        <w:t xml:space="preserve">mune system leads to low grade </w:t>
      </w:r>
      <w:r w:rsidR="00944324" w:rsidRPr="00036DDE">
        <w:rPr>
          <w:rFonts w:ascii="Times New Roman" w:hAnsi="Times New Roman" w:cs="Times New Roman"/>
          <w:color w:val="000000" w:themeColor="text1"/>
          <w:sz w:val="24"/>
          <w:szCs w:val="24"/>
        </w:rPr>
        <w:t>chronic inflammation in the gut mucosal evoked by the gut microbiota</w:t>
      </w:r>
      <w:r w:rsidR="0073734E" w:rsidRPr="00036DDE">
        <w:rPr>
          <w:rFonts w:ascii="Times New Roman" w:hAnsi="Times New Roman" w:cs="Times New Roman"/>
          <w:color w:val="000000" w:themeColor="text1"/>
          <w:sz w:val="24"/>
          <w:szCs w:val="24"/>
        </w:rPr>
        <w:t xml:space="preserve"> (Kowalski &amp; Mulak, 2019)</w:t>
      </w:r>
      <w:r w:rsidR="00944324" w:rsidRPr="00036DDE">
        <w:rPr>
          <w:rFonts w:ascii="Times New Roman" w:hAnsi="Times New Roman" w:cs="Times New Roman"/>
          <w:color w:val="000000" w:themeColor="text1"/>
          <w:sz w:val="24"/>
          <w:szCs w:val="24"/>
        </w:rPr>
        <w:t xml:space="preserve">. The inflammation leads to a break of the barrier, which influences more pro-inflammatory bacteria and cytokines in the neuro-inflammation, </w:t>
      </w:r>
      <w:r w:rsidR="006D04D5" w:rsidRPr="00036DDE">
        <w:rPr>
          <w:rFonts w:ascii="Times New Roman" w:hAnsi="Times New Roman" w:cs="Times New Roman"/>
          <w:color w:val="000000" w:themeColor="text1"/>
          <w:sz w:val="24"/>
          <w:szCs w:val="24"/>
        </w:rPr>
        <w:t xml:space="preserve">and blood-brain barrier. </w:t>
      </w:r>
    </w:p>
    <w:p w:rsidR="00752B37" w:rsidRPr="00036DDE" w:rsidRDefault="006D04D5"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 xml:space="preserve">The maturation of microglia is affected by the microbiota, which is mediated by the SCFA. The dysregulation of the axis influences the pathogenesis of AD. Therefore, the gut microbiomes lead to therapeutic effects in the modulation of AD.  As much as microbiota affects the development of AD, it also plays a vital role in the treatment process of the disease. </w:t>
      </w:r>
      <w:r w:rsidR="0084079B" w:rsidRPr="00036DDE">
        <w:rPr>
          <w:rFonts w:ascii="Times New Roman" w:hAnsi="Times New Roman" w:cs="Times New Roman"/>
          <w:color w:val="000000" w:themeColor="text1"/>
          <w:sz w:val="24"/>
          <w:szCs w:val="24"/>
        </w:rPr>
        <w:t xml:space="preserve">The </w:t>
      </w:r>
      <w:r w:rsidR="0084079B" w:rsidRPr="00036DDE">
        <w:rPr>
          <w:rFonts w:ascii="Times New Roman" w:hAnsi="Times New Roman" w:cs="Times New Roman"/>
          <w:i/>
          <w:color w:val="000000" w:themeColor="text1"/>
          <w:sz w:val="24"/>
          <w:szCs w:val="24"/>
        </w:rPr>
        <w:t>E. coli</w:t>
      </w:r>
      <w:r w:rsidR="0084079B" w:rsidRPr="00036DDE">
        <w:rPr>
          <w:rFonts w:ascii="Times New Roman" w:hAnsi="Times New Roman" w:cs="Times New Roman"/>
          <w:color w:val="000000" w:themeColor="text1"/>
          <w:sz w:val="24"/>
          <w:szCs w:val="24"/>
        </w:rPr>
        <w:t xml:space="preserve"> produces amyloids that are helpful in the formation of biofilms and resistance to destruction from the immune and physical factors. In AD, the presence of low Aβ initiates the functioning of the microglia, which promotes the clearance of amyloids and the action of the phagocytosis. </w:t>
      </w:r>
      <w:r w:rsidR="0073734E" w:rsidRPr="00036DDE">
        <w:rPr>
          <w:rFonts w:ascii="Times New Roman" w:hAnsi="Times New Roman" w:cs="Times New Roman"/>
          <w:color w:val="000000" w:themeColor="text1"/>
          <w:sz w:val="24"/>
          <w:szCs w:val="24"/>
        </w:rPr>
        <w:t>Research shows that the antibiotic-induced perturbations in microorganisms which influence amyloidosis and neuroinflammation in AD, which is essential in therapy.</w:t>
      </w:r>
    </w:p>
    <w:p w:rsidR="00162562" w:rsidRDefault="002921B9"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 xml:space="preserve">Furthermore, nutrition impacts the lifecycle of gut microbes, which in </w:t>
      </w:r>
      <w:r w:rsidR="002F435A" w:rsidRPr="00036DDE">
        <w:rPr>
          <w:rFonts w:ascii="Times New Roman" w:hAnsi="Times New Roman" w:cs="Times New Roman"/>
          <w:color w:val="000000" w:themeColor="text1"/>
          <w:sz w:val="24"/>
          <w:szCs w:val="24"/>
        </w:rPr>
        <w:t>turn enhances the prevention of AD</w:t>
      </w:r>
      <w:r w:rsidRPr="00036DDE">
        <w:rPr>
          <w:rFonts w:ascii="Times New Roman" w:hAnsi="Times New Roman" w:cs="Times New Roman"/>
          <w:color w:val="000000" w:themeColor="text1"/>
          <w:sz w:val="24"/>
          <w:szCs w:val="24"/>
        </w:rPr>
        <w:t xml:space="preserve">. </w:t>
      </w:r>
      <w:r w:rsidR="009B4537" w:rsidRPr="00036DDE">
        <w:rPr>
          <w:rFonts w:ascii="Times New Roman" w:hAnsi="Times New Roman" w:cs="Times New Roman"/>
          <w:color w:val="000000" w:themeColor="text1"/>
          <w:sz w:val="24"/>
          <w:szCs w:val="24"/>
        </w:rPr>
        <w:t xml:space="preserve">Conlon &amp; Bird (2015) provide a significant discussion that shows that diet impacts the lifecycle of the microbiomes, which impacts human health positively. </w:t>
      </w:r>
      <w:r w:rsidRPr="00036DDE">
        <w:rPr>
          <w:rFonts w:ascii="Times New Roman" w:hAnsi="Times New Roman" w:cs="Times New Roman"/>
          <w:color w:val="000000" w:themeColor="text1"/>
          <w:sz w:val="24"/>
          <w:szCs w:val="24"/>
        </w:rPr>
        <w:t xml:space="preserve">Diet plays an essential role in modulating the composition of metabolic activities of the microbiomes, which affects human health significantly. Nutritional prebiotics and probiotics are used as dietary </w:t>
      </w:r>
      <w:r w:rsidRPr="00036DDE">
        <w:rPr>
          <w:rFonts w:ascii="Times New Roman" w:hAnsi="Times New Roman" w:cs="Times New Roman"/>
          <w:color w:val="000000" w:themeColor="text1"/>
          <w:sz w:val="24"/>
          <w:szCs w:val="24"/>
        </w:rPr>
        <w:lastRenderedPageBreak/>
        <w:t xml:space="preserve">strategies to improve the health of humans. The use of prebiotic and probiotic are techniques that promote health status through enhancing the microbiomes. The use of these nutritional strategies is useful in upholding the number of colonic microbiomes. The general health of human beings is improved through the use of probiotics and prebiotics. In the previous researches, the information provided is in support of the idea that probiotics improve the cognitive and </w:t>
      </w:r>
      <w:r w:rsidR="00CD487C" w:rsidRPr="00036DDE">
        <w:rPr>
          <w:rFonts w:ascii="Times New Roman" w:hAnsi="Times New Roman" w:cs="Times New Roman"/>
          <w:color w:val="000000" w:themeColor="text1"/>
          <w:sz w:val="24"/>
          <w:szCs w:val="24"/>
        </w:rPr>
        <w:t xml:space="preserve">metabolic functions of people who suffer from AD. Prebiotics are used to enhance the proliferation of the activities of beneficial microbiomes in the gut. Various studies have proved the use of prebiotics in the prevention of chronic diseases such as diabetes, obesity, AD, and Parkinson's disease. </w:t>
      </w:r>
    </w:p>
    <w:p w:rsidR="0073734E" w:rsidRPr="00036DDE" w:rsidRDefault="00CD487C"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 xml:space="preserve">The prebiotic is significant in helping the uptake of magnesium and calcium, which are essential in the management of AD physical activities and reduce cardiovascular disorders. The use of prebiotics is critical in controlling the immune system, which reduces the occurrence of AD. Therefore, it becomes one of the strategies that enhance changes in the gut microbiomes, thus leading to the prevention of AD. The information provided by Conlon &amp; Bird (2015) is in line with the results from the research conducted by Akbari et al. (2016) which shows that the nutritional supply of probiotics and prebiotics impacts the </w:t>
      </w:r>
      <w:r w:rsidRPr="00036DDE">
        <w:rPr>
          <w:rFonts w:ascii="Times New Roman" w:hAnsi="Times New Roman" w:cs="Times New Roman"/>
          <w:i/>
          <w:color w:val="000000" w:themeColor="text1"/>
          <w:sz w:val="24"/>
          <w:szCs w:val="24"/>
        </w:rPr>
        <w:t>Lactobacillus</w:t>
      </w:r>
      <w:r w:rsidRPr="00036DDE">
        <w:rPr>
          <w:rFonts w:ascii="Times New Roman" w:hAnsi="Times New Roman" w:cs="Times New Roman"/>
          <w:color w:val="000000" w:themeColor="text1"/>
          <w:sz w:val="24"/>
          <w:szCs w:val="24"/>
        </w:rPr>
        <w:t xml:space="preserve"> and </w:t>
      </w:r>
      <w:r w:rsidRPr="00036DDE">
        <w:rPr>
          <w:rFonts w:ascii="Times New Roman" w:hAnsi="Times New Roman" w:cs="Times New Roman"/>
          <w:i/>
          <w:color w:val="000000" w:themeColor="text1"/>
          <w:sz w:val="24"/>
          <w:szCs w:val="24"/>
        </w:rPr>
        <w:t>Bifidobacterium</w:t>
      </w:r>
      <w:r w:rsidRPr="00036DDE">
        <w:rPr>
          <w:rFonts w:ascii="Times New Roman" w:hAnsi="Times New Roman" w:cs="Times New Roman"/>
          <w:color w:val="000000" w:themeColor="text1"/>
          <w:sz w:val="24"/>
          <w:szCs w:val="24"/>
        </w:rPr>
        <w:t xml:space="preserve"> which are essential in </w:t>
      </w:r>
      <w:r w:rsidR="00F36706" w:rsidRPr="00036DDE">
        <w:rPr>
          <w:rFonts w:ascii="Times New Roman" w:hAnsi="Times New Roman" w:cs="Times New Roman"/>
          <w:color w:val="000000" w:themeColor="text1"/>
          <w:sz w:val="24"/>
          <w:szCs w:val="24"/>
        </w:rPr>
        <w:t>enhancing the cognitive and metabolic functioning in AD patients. Therefore, the use of nutritional supply, such as probiotics and prebiotics are significant in preventing and treating AD.</w:t>
      </w:r>
    </w:p>
    <w:p w:rsidR="00F36706" w:rsidRPr="00036DDE" w:rsidRDefault="002921B9"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 xml:space="preserve">Also, the use of </w:t>
      </w:r>
      <w:r w:rsidRPr="00036DDE">
        <w:rPr>
          <w:rFonts w:ascii="Times New Roman" w:hAnsi="Times New Roman" w:cs="Times New Roman"/>
          <w:i/>
          <w:color w:val="000000" w:themeColor="text1"/>
          <w:sz w:val="24"/>
          <w:szCs w:val="24"/>
        </w:rPr>
        <w:t xml:space="preserve">Bifidobacterium breve </w:t>
      </w:r>
      <w:r w:rsidR="00A428AD" w:rsidRPr="00036DDE">
        <w:rPr>
          <w:rFonts w:ascii="Times New Roman" w:hAnsi="Times New Roman" w:cs="Times New Roman"/>
          <w:color w:val="000000" w:themeColor="text1"/>
          <w:sz w:val="24"/>
          <w:szCs w:val="24"/>
        </w:rPr>
        <w:t xml:space="preserve">has been proved to be useful in the prevention of cognitive impairment in AD. In the previous research done by Akbari et al. (2016), the researchers suggested that the alteration in the gut microbiomes, including </w:t>
      </w:r>
      <w:r w:rsidR="00A428AD" w:rsidRPr="00036DDE">
        <w:rPr>
          <w:rFonts w:ascii="Times New Roman" w:hAnsi="Times New Roman" w:cs="Times New Roman"/>
          <w:i/>
          <w:color w:val="000000" w:themeColor="text1"/>
          <w:sz w:val="24"/>
          <w:szCs w:val="24"/>
        </w:rPr>
        <w:t>Bifidobacterium bifidum</w:t>
      </w:r>
      <w:r w:rsidR="00A428AD" w:rsidRPr="00036DDE">
        <w:rPr>
          <w:rFonts w:ascii="Times New Roman" w:hAnsi="Times New Roman" w:cs="Times New Roman"/>
          <w:color w:val="000000" w:themeColor="text1"/>
          <w:sz w:val="24"/>
          <w:szCs w:val="24"/>
        </w:rPr>
        <w:t xml:space="preserve">, is significant in the treatment of AD. In AD, there is a substantial impact on cognitive </w:t>
      </w:r>
      <w:r w:rsidR="00A428AD" w:rsidRPr="00036DDE">
        <w:rPr>
          <w:rFonts w:ascii="Times New Roman" w:hAnsi="Times New Roman" w:cs="Times New Roman"/>
          <w:color w:val="000000" w:themeColor="text1"/>
          <w:sz w:val="24"/>
          <w:szCs w:val="24"/>
        </w:rPr>
        <w:lastRenderedPageBreak/>
        <w:t xml:space="preserve">functioning, which is essential for management in the treatment process. Kobayashi et al. (2017) reveal that </w:t>
      </w:r>
      <w:r w:rsidR="00A428AD" w:rsidRPr="00036DDE">
        <w:rPr>
          <w:rFonts w:ascii="Times New Roman" w:hAnsi="Times New Roman" w:cs="Times New Roman"/>
          <w:i/>
          <w:color w:val="000000" w:themeColor="text1"/>
          <w:sz w:val="24"/>
          <w:szCs w:val="24"/>
        </w:rPr>
        <w:t xml:space="preserve">B. breve </w:t>
      </w:r>
      <w:r w:rsidR="00A428AD" w:rsidRPr="00036DDE">
        <w:rPr>
          <w:rFonts w:ascii="Times New Roman" w:hAnsi="Times New Roman" w:cs="Times New Roman"/>
          <w:color w:val="000000" w:themeColor="text1"/>
          <w:sz w:val="24"/>
          <w:szCs w:val="24"/>
        </w:rPr>
        <w:t xml:space="preserve">stain AI is responsible for the prevention of cognitive dysfunction induced by Aβ. </w:t>
      </w:r>
      <w:r w:rsidR="009054A1" w:rsidRPr="00036DDE">
        <w:rPr>
          <w:rFonts w:ascii="Times New Roman" w:hAnsi="Times New Roman" w:cs="Times New Roman"/>
          <w:color w:val="000000" w:themeColor="text1"/>
          <w:sz w:val="24"/>
          <w:szCs w:val="24"/>
        </w:rPr>
        <w:t xml:space="preserve">A study done on mice showed that those mice injected with </w:t>
      </w:r>
      <w:r w:rsidR="009054A1" w:rsidRPr="00036DDE">
        <w:rPr>
          <w:rFonts w:ascii="Times New Roman" w:hAnsi="Times New Roman" w:cs="Times New Roman"/>
          <w:i/>
          <w:color w:val="000000" w:themeColor="text1"/>
          <w:sz w:val="24"/>
          <w:szCs w:val="24"/>
        </w:rPr>
        <w:t>B. breve</w:t>
      </w:r>
      <w:r w:rsidR="009054A1" w:rsidRPr="00036DDE">
        <w:rPr>
          <w:rFonts w:ascii="Times New Roman" w:hAnsi="Times New Roman" w:cs="Times New Roman"/>
          <w:color w:val="000000" w:themeColor="text1"/>
          <w:sz w:val="24"/>
          <w:szCs w:val="24"/>
        </w:rPr>
        <w:t xml:space="preserve"> had lower impairment in behavior than those that were not inoculated with that microbiome, which proved that the use of </w:t>
      </w:r>
      <w:r w:rsidR="009054A1" w:rsidRPr="00036DDE">
        <w:rPr>
          <w:rFonts w:ascii="Times New Roman" w:hAnsi="Times New Roman" w:cs="Times New Roman"/>
          <w:i/>
          <w:color w:val="000000" w:themeColor="text1"/>
          <w:sz w:val="24"/>
          <w:szCs w:val="24"/>
        </w:rPr>
        <w:t>B. breve</w:t>
      </w:r>
      <w:r w:rsidR="009054A1" w:rsidRPr="00036DDE">
        <w:rPr>
          <w:rFonts w:ascii="Times New Roman" w:hAnsi="Times New Roman" w:cs="Times New Roman"/>
          <w:color w:val="000000" w:themeColor="text1"/>
          <w:sz w:val="24"/>
          <w:szCs w:val="24"/>
        </w:rPr>
        <w:t xml:space="preserve"> is significant in the prevention of AD. Research indicates that </w:t>
      </w:r>
      <w:r w:rsidR="009054A1" w:rsidRPr="00036DDE">
        <w:rPr>
          <w:rFonts w:ascii="Times New Roman" w:hAnsi="Times New Roman" w:cs="Times New Roman"/>
          <w:i/>
          <w:color w:val="000000" w:themeColor="text1"/>
          <w:sz w:val="24"/>
          <w:szCs w:val="24"/>
        </w:rPr>
        <w:t>B. breve</w:t>
      </w:r>
      <w:r w:rsidR="009054A1" w:rsidRPr="00036DDE">
        <w:rPr>
          <w:rFonts w:ascii="Times New Roman" w:hAnsi="Times New Roman" w:cs="Times New Roman"/>
          <w:color w:val="000000" w:themeColor="text1"/>
          <w:sz w:val="24"/>
          <w:szCs w:val="24"/>
        </w:rPr>
        <w:t xml:space="preserve"> A1 does not impact the microbiomes in the gut; however, the plasma acetate levels are increased in AD. The study done by Kobayashi et al. (2017) reveals that the use of probiotics has an impact on the alterations of brain functioning through amelioration of physiological functions, </w:t>
      </w:r>
      <w:r w:rsidR="002F435A" w:rsidRPr="00036DDE">
        <w:rPr>
          <w:rFonts w:ascii="Times New Roman" w:hAnsi="Times New Roman" w:cs="Times New Roman"/>
          <w:color w:val="000000" w:themeColor="text1"/>
          <w:sz w:val="24"/>
          <w:szCs w:val="24"/>
        </w:rPr>
        <w:t xml:space="preserve">including immune response, homeostasis, and gut barriers. The use of probiotics has been proved to be effective in reducing the toxicity of Aβ in the brain tissues, which is essential in the treatment of cognitive function in the AD.  </w:t>
      </w:r>
    </w:p>
    <w:p w:rsidR="00752B37" w:rsidRPr="00036DDE" w:rsidRDefault="002921B9" w:rsidP="00036DDE">
      <w:pPr>
        <w:spacing w:after="0" w:line="480" w:lineRule="auto"/>
        <w:ind w:firstLine="720"/>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t xml:space="preserve">Gut microbiomes secrete a significant amount of metabolites, which impacts brain </w:t>
      </w:r>
      <w:r w:rsidR="001B332E" w:rsidRPr="00036DDE">
        <w:rPr>
          <w:rFonts w:ascii="Times New Roman" w:hAnsi="Times New Roman" w:cs="Times New Roman"/>
          <w:color w:val="000000" w:themeColor="text1"/>
          <w:sz w:val="24"/>
          <w:szCs w:val="24"/>
        </w:rPr>
        <w:t xml:space="preserve">functioning, which is essential in the treatment and prevention of AD. </w:t>
      </w:r>
      <w:r w:rsidR="00DF50D3" w:rsidRPr="00036DDE">
        <w:rPr>
          <w:rFonts w:ascii="Times New Roman" w:hAnsi="Times New Roman" w:cs="Times New Roman"/>
          <w:color w:val="000000" w:themeColor="text1"/>
          <w:sz w:val="24"/>
          <w:szCs w:val="24"/>
        </w:rPr>
        <w:t>A study done by Nagpal et al. (</w:t>
      </w:r>
      <w:r w:rsidR="00036DDE" w:rsidRPr="00036DDE">
        <w:rPr>
          <w:rFonts w:ascii="Times New Roman" w:hAnsi="Times New Roman" w:cs="Times New Roman"/>
          <w:color w:val="000000" w:themeColor="text1"/>
          <w:sz w:val="24"/>
          <w:szCs w:val="24"/>
        </w:rPr>
        <w:t>2019</w:t>
      </w:r>
      <w:r w:rsidR="00DF50D3" w:rsidRPr="00036DDE">
        <w:rPr>
          <w:rFonts w:ascii="Times New Roman" w:hAnsi="Times New Roman" w:cs="Times New Roman"/>
          <w:color w:val="000000" w:themeColor="text1"/>
          <w:sz w:val="24"/>
          <w:szCs w:val="24"/>
        </w:rPr>
        <w:t xml:space="preserve">) shows that the gut microbiomes can be modulated by the microbial signatures, which is associated with improved biomarkers in AD. </w:t>
      </w:r>
      <w:r w:rsidR="001B332E" w:rsidRPr="00036DDE">
        <w:rPr>
          <w:rFonts w:ascii="Times New Roman" w:hAnsi="Times New Roman" w:cs="Times New Roman"/>
          <w:color w:val="000000" w:themeColor="text1"/>
          <w:sz w:val="24"/>
          <w:szCs w:val="24"/>
        </w:rPr>
        <w:t xml:space="preserve">The metabolites produced in the gut include butyrate, propionate, and acetate. Acetate is useful in modulating the brain signals to control the intake of food. Butyrate is an energy source as well as inhibition element to histone deacetylases, which transforms the expression of proteins and genes in the neuronal and intestinal cells. Butyrate is an element that enhances memory and learning, which makes it significant for the treatment of AD. Research reveals that restoring the release of SCFAs helps in the prevention of AD pathology. The microbiomes in the gut are also linked with the transformation of neuronal signaling, myelination, and synaptic protein expression. Therefore, the assessment of the change of gut microbiomes leads to the discovery of the prognosis of AD. The modulation of </w:t>
      </w:r>
      <w:r w:rsidR="009B4537" w:rsidRPr="00036DDE">
        <w:rPr>
          <w:rFonts w:ascii="Times New Roman" w:hAnsi="Times New Roman" w:cs="Times New Roman"/>
          <w:color w:val="000000" w:themeColor="text1"/>
          <w:sz w:val="24"/>
          <w:szCs w:val="24"/>
        </w:rPr>
        <w:lastRenderedPageBreak/>
        <w:t>microbiomes in the gut leads to an increase in the beneficial bacteria and metabolites that are helpful in the prevention of AD.</w:t>
      </w:r>
    </w:p>
    <w:p w:rsidR="00DF50D3" w:rsidRPr="00036DDE" w:rsidRDefault="002921B9" w:rsidP="00036DDE">
      <w:pPr>
        <w:spacing w:after="0" w:line="480" w:lineRule="auto"/>
        <w:ind w:firstLine="720"/>
        <w:jc w:val="center"/>
        <w:rPr>
          <w:rFonts w:ascii="Times New Roman" w:hAnsi="Times New Roman" w:cs="Times New Roman"/>
          <w:b/>
          <w:color w:val="000000" w:themeColor="text1"/>
          <w:sz w:val="24"/>
          <w:szCs w:val="24"/>
        </w:rPr>
      </w:pPr>
      <w:r w:rsidRPr="00036DDE">
        <w:rPr>
          <w:rFonts w:ascii="Times New Roman" w:hAnsi="Times New Roman" w:cs="Times New Roman"/>
          <w:b/>
          <w:color w:val="000000" w:themeColor="text1"/>
          <w:sz w:val="24"/>
          <w:szCs w:val="24"/>
        </w:rPr>
        <w:t>Conclusion</w:t>
      </w:r>
    </w:p>
    <w:p w:rsidR="00DF50D3" w:rsidRPr="00036DDE" w:rsidRDefault="00DE3D97" w:rsidP="00036DDE">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All in all, it is apparent that </w:t>
      </w:r>
      <w:r w:rsidR="002921B9" w:rsidRPr="00036DDE">
        <w:rPr>
          <w:rFonts w:ascii="Times New Roman" w:hAnsi="Times New Roman" w:cs="Times New Roman"/>
          <w:color w:val="000000" w:themeColor="text1"/>
          <w:sz w:val="24"/>
          <w:szCs w:val="24"/>
        </w:rPr>
        <w:t xml:space="preserve">AD is a disease that has been associated with dementia, especially among the older generation. The increased rate of AD has influenced researchers to study the impact of the disease and the treatment modalities that can be used to prevent the disease since it has been rampant among the older population. The condition impacts the CNS extensively, leading to negative impacts such as metabolism disorders, memory loss, and cognitive dysfunction. </w:t>
      </w:r>
      <w:r w:rsidR="000A745A" w:rsidRPr="00036DDE">
        <w:rPr>
          <w:rFonts w:ascii="Times New Roman" w:hAnsi="Times New Roman" w:cs="Times New Roman"/>
          <w:color w:val="000000" w:themeColor="text1"/>
          <w:sz w:val="24"/>
          <w:szCs w:val="24"/>
        </w:rPr>
        <w:t>Therefore,</w:t>
      </w:r>
      <w:r w:rsidR="002921B9" w:rsidRPr="00036DDE">
        <w:rPr>
          <w:rFonts w:ascii="Times New Roman" w:hAnsi="Times New Roman" w:cs="Times New Roman"/>
          <w:color w:val="000000" w:themeColor="text1"/>
          <w:sz w:val="24"/>
          <w:szCs w:val="24"/>
        </w:rPr>
        <w:t xml:space="preserve"> there is a need for </w:t>
      </w:r>
      <w:r w:rsidR="000A745A" w:rsidRPr="00036DDE">
        <w:rPr>
          <w:rFonts w:ascii="Times New Roman" w:hAnsi="Times New Roman" w:cs="Times New Roman"/>
          <w:color w:val="000000" w:themeColor="text1"/>
          <w:sz w:val="24"/>
          <w:szCs w:val="24"/>
        </w:rPr>
        <w:t>therapies that are aimed at changing the neuropathological process of the disease. The use of microbiomes, as revealed by different studies, is successful in the treatment and prevention of the disease. The changing of gut microbiomes is the main factor that enhances the success of their use in preventing the disease. The probiotic and prebiotic supplements are essential in the treatment of cognitive and metabolic disorders in AD due to an increase in the number of beneficial microbiomes in the gut. Also, the brain-gut-microbiota axis is significant in the treatment of AD. Nutrition affects the lifecycle of gut microorganisms, which in turn augments the prevention of AD. Therefore, the change in gut microbiomes is significant in the treatment and prevention of AD.</w:t>
      </w:r>
    </w:p>
    <w:p w:rsidR="00036DDE" w:rsidRDefault="00036DDE" w:rsidP="00036DDE">
      <w:pPr>
        <w:spacing w:after="0" w:line="480" w:lineRule="auto"/>
        <w:ind w:firstLine="720"/>
        <w:rPr>
          <w:rFonts w:ascii="Times New Roman" w:hAnsi="Times New Roman" w:cs="Times New Roman"/>
          <w:color w:val="000000" w:themeColor="text1"/>
          <w:sz w:val="24"/>
          <w:szCs w:val="24"/>
        </w:rPr>
      </w:pPr>
    </w:p>
    <w:p w:rsidR="00036DDE" w:rsidRDefault="00036DDE" w:rsidP="00036DDE">
      <w:pPr>
        <w:spacing w:after="0" w:line="480" w:lineRule="auto"/>
        <w:ind w:firstLine="720"/>
        <w:rPr>
          <w:rFonts w:ascii="Times New Roman" w:hAnsi="Times New Roman" w:cs="Times New Roman"/>
          <w:color w:val="000000" w:themeColor="text1"/>
          <w:sz w:val="24"/>
          <w:szCs w:val="24"/>
        </w:rPr>
      </w:pPr>
    </w:p>
    <w:p w:rsidR="00036DDE" w:rsidRDefault="00036DDE" w:rsidP="00036DDE">
      <w:pPr>
        <w:spacing w:after="0" w:line="480" w:lineRule="auto"/>
        <w:ind w:firstLine="720"/>
        <w:rPr>
          <w:rFonts w:ascii="Times New Roman" w:hAnsi="Times New Roman" w:cs="Times New Roman"/>
          <w:color w:val="000000" w:themeColor="text1"/>
          <w:sz w:val="24"/>
          <w:szCs w:val="24"/>
        </w:rPr>
      </w:pPr>
    </w:p>
    <w:p w:rsidR="00036DDE" w:rsidRDefault="00036DDE" w:rsidP="00036DDE">
      <w:pPr>
        <w:spacing w:after="0" w:line="480" w:lineRule="auto"/>
        <w:ind w:firstLine="720"/>
        <w:rPr>
          <w:rFonts w:ascii="Times New Roman" w:hAnsi="Times New Roman" w:cs="Times New Roman"/>
          <w:color w:val="000000" w:themeColor="text1"/>
          <w:sz w:val="24"/>
          <w:szCs w:val="24"/>
        </w:rPr>
      </w:pPr>
    </w:p>
    <w:p w:rsidR="00036DDE" w:rsidRDefault="00036DDE" w:rsidP="00036DDE">
      <w:pPr>
        <w:spacing w:after="0" w:line="480" w:lineRule="auto"/>
        <w:ind w:firstLine="720"/>
        <w:rPr>
          <w:rFonts w:ascii="Times New Roman" w:hAnsi="Times New Roman" w:cs="Times New Roman"/>
          <w:color w:val="000000" w:themeColor="text1"/>
          <w:sz w:val="24"/>
          <w:szCs w:val="24"/>
        </w:rPr>
      </w:pPr>
    </w:p>
    <w:p w:rsidR="00036DDE" w:rsidRDefault="00036DDE" w:rsidP="00162562">
      <w:pPr>
        <w:spacing w:after="0" w:line="480" w:lineRule="auto"/>
        <w:rPr>
          <w:rFonts w:ascii="Times New Roman" w:hAnsi="Times New Roman" w:cs="Times New Roman"/>
          <w:color w:val="000000" w:themeColor="text1"/>
          <w:sz w:val="24"/>
          <w:szCs w:val="24"/>
        </w:rPr>
      </w:pPr>
      <w:bookmarkStart w:id="0" w:name="_GoBack"/>
      <w:bookmarkEnd w:id="0"/>
    </w:p>
    <w:p w:rsidR="00036DDE" w:rsidRPr="00036DDE" w:rsidRDefault="002921B9" w:rsidP="00036DDE">
      <w:pPr>
        <w:spacing w:after="0" w:line="480" w:lineRule="auto"/>
        <w:ind w:firstLine="720"/>
        <w:jc w:val="center"/>
        <w:rPr>
          <w:rFonts w:ascii="Times New Roman" w:hAnsi="Times New Roman" w:cs="Times New Roman"/>
          <w:color w:val="000000" w:themeColor="text1"/>
          <w:sz w:val="24"/>
          <w:szCs w:val="24"/>
        </w:rPr>
      </w:pPr>
      <w:r w:rsidRPr="00036DDE">
        <w:rPr>
          <w:rFonts w:ascii="Times New Roman" w:hAnsi="Times New Roman" w:cs="Times New Roman"/>
          <w:color w:val="000000" w:themeColor="text1"/>
          <w:sz w:val="24"/>
          <w:szCs w:val="24"/>
        </w:rPr>
        <w:lastRenderedPageBreak/>
        <w:t>References</w:t>
      </w:r>
    </w:p>
    <w:p w:rsidR="00036DDE" w:rsidRPr="00036DDE" w:rsidRDefault="002921B9" w:rsidP="00036DDE">
      <w:pPr>
        <w:spacing w:after="0" w:line="480" w:lineRule="auto"/>
        <w:ind w:left="720" w:hanging="720"/>
        <w:rPr>
          <w:rFonts w:ascii="Times New Roman" w:hAnsi="Times New Roman" w:cs="Times New Roman"/>
          <w:color w:val="000000" w:themeColor="text1"/>
          <w:sz w:val="24"/>
          <w:szCs w:val="24"/>
          <w:shd w:val="clear" w:color="auto" w:fill="FFFFFF"/>
        </w:rPr>
      </w:pPr>
      <w:r w:rsidRPr="00036DDE">
        <w:rPr>
          <w:rFonts w:ascii="Times New Roman" w:hAnsi="Times New Roman" w:cs="Times New Roman"/>
          <w:color w:val="000000" w:themeColor="text1"/>
          <w:sz w:val="24"/>
          <w:szCs w:val="24"/>
          <w:shd w:val="clear" w:color="auto" w:fill="FFFFFF"/>
        </w:rPr>
        <w:t xml:space="preserve">Akbari, E., Asemi, Z., Daneshvar Kakhaki, R., Bahmani, F., Kouchaki, E., &amp; Tamtaji, O. et al. (2016). Effect of Probiotic Supplementation on Cognitive Function and Metabolic Status in Alzheimer's Disease: A Randomized, Double-Blind, and Controlled Trial. </w:t>
      </w:r>
      <w:r w:rsidRPr="00036DDE">
        <w:rPr>
          <w:rFonts w:ascii="Times New Roman" w:hAnsi="Times New Roman" w:cs="Times New Roman"/>
          <w:i/>
          <w:iCs/>
          <w:color w:val="000000" w:themeColor="text1"/>
          <w:sz w:val="24"/>
          <w:szCs w:val="24"/>
          <w:shd w:val="clear" w:color="auto" w:fill="FFFFFF"/>
        </w:rPr>
        <w:t>Frontiers in Aging Neuroscience</w:t>
      </w:r>
      <w:r w:rsidRPr="00036DDE">
        <w:rPr>
          <w:rFonts w:ascii="Times New Roman" w:hAnsi="Times New Roman" w:cs="Times New Roman"/>
          <w:color w:val="000000" w:themeColor="text1"/>
          <w:sz w:val="24"/>
          <w:szCs w:val="24"/>
          <w:shd w:val="clear" w:color="auto" w:fill="FFFFFF"/>
        </w:rPr>
        <w:t>, </w:t>
      </w:r>
      <w:r w:rsidRPr="00036DDE">
        <w:rPr>
          <w:rFonts w:ascii="Times New Roman" w:hAnsi="Times New Roman" w:cs="Times New Roman"/>
          <w:i/>
          <w:iCs/>
          <w:color w:val="000000" w:themeColor="text1"/>
          <w:sz w:val="24"/>
          <w:szCs w:val="24"/>
          <w:shd w:val="clear" w:color="auto" w:fill="FFFFFF"/>
        </w:rPr>
        <w:t>8</w:t>
      </w:r>
      <w:r w:rsidRPr="00036DDE">
        <w:rPr>
          <w:rFonts w:ascii="Times New Roman" w:hAnsi="Times New Roman" w:cs="Times New Roman"/>
          <w:color w:val="000000" w:themeColor="text1"/>
          <w:sz w:val="24"/>
          <w:szCs w:val="24"/>
          <w:shd w:val="clear" w:color="auto" w:fill="FFFFFF"/>
        </w:rPr>
        <w:t>. DOI: 10.3389/fnagi.2016.00256</w:t>
      </w:r>
    </w:p>
    <w:p w:rsidR="00036DDE" w:rsidRPr="00036DDE" w:rsidRDefault="002921B9" w:rsidP="00036DDE">
      <w:pPr>
        <w:spacing w:after="0" w:line="480" w:lineRule="auto"/>
        <w:ind w:left="720" w:hanging="720"/>
        <w:rPr>
          <w:rFonts w:ascii="Times New Roman" w:hAnsi="Times New Roman" w:cs="Times New Roman"/>
          <w:color w:val="000000" w:themeColor="text1"/>
          <w:sz w:val="24"/>
          <w:szCs w:val="24"/>
          <w:shd w:val="clear" w:color="auto" w:fill="FFFFFF"/>
        </w:rPr>
      </w:pPr>
      <w:r w:rsidRPr="00036DDE">
        <w:rPr>
          <w:rFonts w:ascii="Times New Roman" w:hAnsi="Times New Roman" w:cs="Times New Roman"/>
          <w:color w:val="000000" w:themeColor="text1"/>
          <w:sz w:val="24"/>
          <w:szCs w:val="24"/>
          <w:shd w:val="clear" w:color="auto" w:fill="FFFFFF"/>
        </w:rPr>
        <w:t>Angelucci, F., Cechova, K., Amlerova, J., &amp; Hort, J. (2019). Antibiotics, gut microbiota, and Alzheimer</w:t>
      </w:r>
      <w:r w:rsidR="00A30187">
        <w:rPr>
          <w:rFonts w:ascii="Times New Roman" w:hAnsi="Times New Roman" w:cs="Times New Roman"/>
          <w:color w:val="000000" w:themeColor="text1"/>
          <w:sz w:val="24"/>
          <w:szCs w:val="24"/>
          <w:shd w:val="clear" w:color="auto" w:fill="FFFFFF"/>
        </w:rPr>
        <w:t>'</w:t>
      </w:r>
      <w:r w:rsidRPr="00036DDE">
        <w:rPr>
          <w:rFonts w:ascii="Times New Roman" w:hAnsi="Times New Roman" w:cs="Times New Roman"/>
          <w:color w:val="000000" w:themeColor="text1"/>
          <w:sz w:val="24"/>
          <w:szCs w:val="24"/>
          <w:shd w:val="clear" w:color="auto" w:fill="FFFFFF"/>
        </w:rPr>
        <w:t>s disease. </w:t>
      </w:r>
      <w:r w:rsidRPr="00036DDE">
        <w:rPr>
          <w:rFonts w:ascii="Times New Roman" w:hAnsi="Times New Roman" w:cs="Times New Roman"/>
          <w:i/>
          <w:iCs/>
          <w:color w:val="000000" w:themeColor="text1"/>
          <w:sz w:val="24"/>
          <w:szCs w:val="24"/>
          <w:shd w:val="clear" w:color="auto" w:fill="FFFFFF"/>
        </w:rPr>
        <w:t>Journal of Neuroinflammation</w:t>
      </w:r>
      <w:r w:rsidRPr="00036DDE">
        <w:rPr>
          <w:rFonts w:ascii="Times New Roman" w:hAnsi="Times New Roman" w:cs="Times New Roman"/>
          <w:color w:val="000000" w:themeColor="text1"/>
          <w:sz w:val="24"/>
          <w:szCs w:val="24"/>
          <w:shd w:val="clear" w:color="auto" w:fill="FFFFFF"/>
        </w:rPr>
        <w:t>, </w:t>
      </w:r>
      <w:r w:rsidRPr="00036DDE">
        <w:rPr>
          <w:rFonts w:ascii="Times New Roman" w:hAnsi="Times New Roman" w:cs="Times New Roman"/>
          <w:i/>
          <w:iCs/>
          <w:color w:val="000000" w:themeColor="text1"/>
          <w:sz w:val="24"/>
          <w:szCs w:val="24"/>
          <w:shd w:val="clear" w:color="auto" w:fill="FFFFFF"/>
        </w:rPr>
        <w:t>16</w:t>
      </w:r>
      <w:r w:rsidRPr="00036DDE">
        <w:rPr>
          <w:rFonts w:ascii="Times New Roman" w:hAnsi="Times New Roman" w:cs="Times New Roman"/>
          <w:color w:val="000000" w:themeColor="text1"/>
          <w:sz w:val="24"/>
          <w:szCs w:val="24"/>
          <w:shd w:val="clear" w:color="auto" w:fill="FFFFFF"/>
        </w:rPr>
        <w:t>(1). DOI: 10.1186/s12974-019-1494-4</w:t>
      </w:r>
    </w:p>
    <w:p w:rsidR="00036DDE" w:rsidRPr="00036DDE" w:rsidRDefault="002921B9" w:rsidP="00036DDE">
      <w:pPr>
        <w:spacing w:after="0" w:line="480" w:lineRule="auto"/>
        <w:ind w:left="720" w:hanging="720"/>
        <w:rPr>
          <w:rFonts w:ascii="Times New Roman" w:hAnsi="Times New Roman" w:cs="Times New Roman"/>
          <w:color w:val="000000" w:themeColor="text1"/>
          <w:sz w:val="24"/>
          <w:szCs w:val="24"/>
          <w:shd w:val="clear" w:color="auto" w:fill="FFFFFF"/>
        </w:rPr>
      </w:pPr>
      <w:r w:rsidRPr="00036DDE">
        <w:rPr>
          <w:rFonts w:ascii="Times New Roman" w:hAnsi="Times New Roman" w:cs="Times New Roman"/>
          <w:color w:val="000000" w:themeColor="text1"/>
          <w:sz w:val="24"/>
          <w:szCs w:val="24"/>
          <w:shd w:val="clear" w:color="auto" w:fill="FFFFFF"/>
        </w:rPr>
        <w:t>Cerovic, M., Forloni, G., &amp; Balducci, C. (2019). Neuroinflammation and the Gut Microbiota: Possible Alternative Therapeutic Targets to Counteract Alzheimer</w:t>
      </w:r>
      <w:r w:rsidR="00A30187">
        <w:rPr>
          <w:rFonts w:ascii="Times New Roman" w:hAnsi="Times New Roman" w:cs="Times New Roman"/>
          <w:color w:val="000000" w:themeColor="text1"/>
          <w:sz w:val="24"/>
          <w:szCs w:val="24"/>
          <w:shd w:val="clear" w:color="auto" w:fill="FFFFFF"/>
        </w:rPr>
        <w:t>'</w:t>
      </w:r>
      <w:r w:rsidRPr="00036DDE">
        <w:rPr>
          <w:rFonts w:ascii="Times New Roman" w:hAnsi="Times New Roman" w:cs="Times New Roman"/>
          <w:color w:val="000000" w:themeColor="text1"/>
          <w:sz w:val="24"/>
          <w:szCs w:val="24"/>
          <w:shd w:val="clear" w:color="auto" w:fill="FFFFFF"/>
        </w:rPr>
        <w:t>s Disease? </w:t>
      </w:r>
      <w:r w:rsidRPr="00036DDE">
        <w:rPr>
          <w:rFonts w:ascii="Times New Roman" w:hAnsi="Times New Roman" w:cs="Times New Roman"/>
          <w:i/>
          <w:iCs/>
          <w:color w:val="000000" w:themeColor="text1"/>
          <w:sz w:val="24"/>
          <w:szCs w:val="24"/>
          <w:shd w:val="clear" w:color="auto" w:fill="FFFFFF"/>
        </w:rPr>
        <w:t>Frontiers in Aging Neuroscience</w:t>
      </w:r>
      <w:r w:rsidRPr="00036DDE">
        <w:rPr>
          <w:rFonts w:ascii="Times New Roman" w:hAnsi="Times New Roman" w:cs="Times New Roman"/>
          <w:color w:val="000000" w:themeColor="text1"/>
          <w:sz w:val="24"/>
          <w:szCs w:val="24"/>
          <w:shd w:val="clear" w:color="auto" w:fill="FFFFFF"/>
        </w:rPr>
        <w:t>, </w:t>
      </w:r>
      <w:r w:rsidRPr="00036DDE">
        <w:rPr>
          <w:rFonts w:ascii="Times New Roman" w:hAnsi="Times New Roman" w:cs="Times New Roman"/>
          <w:i/>
          <w:iCs/>
          <w:color w:val="000000" w:themeColor="text1"/>
          <w:sz w:val="24"/>
          <w:szCs w:val="24"/>
          <w:shd w:val="clear" w:color="auto" w:fill="FFFFFF"/>
        </w:rPr>
        <w:t>11</w:t>
      </w:r>
      <w:r w:rsidRPr="00036DDE">
        <w:rPr>
          <w:rFonts w:ascii="Times New Roman" w:hAnsi="Times New Roman" w:cs="Times New Roman"/>
          <w:color w:val="000000" w:themeColor="text1"/>
          <w:sz w:val="24"/>
          <w:szCs w:val="24"/>
          <w:shd w:val="clear" w:color="auto" w:fill="FFFFFF"/>
        </w:rPr>
        <w:t>. DOI: 10.3389/fnagi.2019.00284</w:t>
      </w:r>
    </w:p>
    <w:p w:rsidR="00036DDE" w:rsidRPr="00036DDE" w:rsidRDefault="002921B9" w:rsidP="00036DDE">
      <w:pPr>
        <w:spacing w:after="0" w:line="480" w:lineRule="auto"/>
        <w:ind w:left="720" w:hanging="720"/>
        <w:rPr>
          <w:rFonts w:ascii="Times New Roman" w:hAnsi="Times New Roman" w:cs="Times New Roman"/>
          <w:color w:val="000000" w:themeColor="text1"/>
          <w:sz w:val="24"/>
          <w:szCs w:val="24"/>
          <w:shd w:val="clear" w:color="auto" w:fill="FFFFFF"/>
        </w:rPr>
      </w:pPr>
      <w:r w:rsidRPr="00036DDE">
        <w:rPr>
          <w:rFonts w:ascii="Times New Roman" w:hAnsi="Times New Roman" w:cs="Times New Roman"/>
          <w:color w:val="000000" w:themeColor="text1"/>
          <w:sz w:val="24"/>
          <w:szCs w:val="24"/>
          <w:shd w:val="clear" w:color="auto" w:fill="FFFFFF"/>
        </w:rPr>
        <w:t>Conlon, M., &amp; Bird, A. (2014). The Impact of Diet and Lifestyle on Gut Microbiota and Human Health. </w:t>
      </w:r>
      <w:r w:rsidRPr="00036DDE">
        <w:rPr>
          <w:rFonts w:ascii="Times New Roman" w:hAnsi="Times New Roman" w:cs="Times New Roman"/>
          <w:i/>
          <w:iCs/>
          <w:color w:val="000000" w:themeColor="text1"/>
          <w:sz w:val="24"/>
          <w:szCs w:val="24"/>
          <w:shd w:val="clear" w:color="auto" w:fill="FFFFFF"/>
        </w:rPr>
        <w:t>Nutrients</w:t>
      </w:r>
      <w:r w:rsidRPr="00036DDE">
        <w:rPr>
          <w:rFonts w:ascii="Times New Roman" w:hAnsi="Times New Roman" w:cs="Times New Roman"/>
          <w:color w:val="000000" w:themeColor="text1"/>
          <w:sz w:val="24"/>
          <w:szCs w:val="24"/>
          <w:shd w:val="clear" w:color="auto" w:fill="FFFFFF"/>
        </w:rPr>
        <w:t>, </w:t>
      </w:r>
      <w:r w:rsidRPr="00036DDE">
        <w:rPr>
          <w:rFonts w:ascii="Times New Roman" w:hAnsi="Times New Roman" w:cs="Times New Roman"/>
          <w:i/>
          <w:iCs/>
          <w:color w:val="000000" w:themeColor="text1"/>
          <w:sz w:val="24"/>
          <w:szCs w:val="24"/>
          <w:shd w:val="clear" w:color="auto" w:fill="FFFFFF"/>
        </w:rPr>
        <w:t>7</w:t>
      </w:r>
      <w:r w:rsidRPr="00036DDE">
        <w:rPr>
          <w:rFonts w:ascii="Times New Roman" w:hAnsi="Times New Roman" w:cs="Times New Roman"/>
          <w:color w:val="000000" w:themeColor="text1"/>
          <w:sz w:val="24"/>
          <w:szCs w:val="24"/>
          <w:shd w:val="clear" w:color="auto" w:fill="FFFFFF"/>
        </w:rPr>
        <w:t>(1), 17-44. DOI: 10.3390/nu7010017</w:t>
      </w:r>
    </w:p>
    <w:p w:rsidR="00036DDE" w:rsidRPr="00036DDE" w:rsidRDefault="002921B9" w:rsidP="00036DDE">
      <w:pPr>
        <w:spacing w:after="0" w:line="480" w:lineRule="auto"/>
        <w:ind w:left="720" w:hanging="720"/>
        <w:rPr>
          <w:rFonts w:ascii="Times New Roman" w:hAnsi="Times New Roman" w:cs="Times New Roman"/>
          <w:color w:val="000000" w:themeColor="text1"/>
          <w:sz w:val="24"/>
          <w:szCs w:val="24"/>
          <w:shd w:val="clear" w:color="auto" w:fill="FFFFFF"/>
        </w:rPr>
      </w:pPr>
      <w:r w:rsidRPr="00036DDE">
        <w:rPr>
          <w:rFonts w:ascii="Times New Roman" w:hAnsi="Times New Roman" w:cs="Times New Roman"/>
          <w:color w:val="000000" w:themeColor="text1"/>
          <w:sz w:val="24"/>
          <w:szCs w:val="24"/>
          <w:shd w:val="clear" w:color="auto" w:fill="FFFFFF"/>
        </w:rPr>
        <w:t>Kobayashi, Y., Sugahara, H., Shimada, K., Mitsuyama, E., Kuhara, T., &amp; Yasuoka, A. et al. (2017). Therapeutic potential of Bifidobacterium breve strain A1 for preventing cognitive impairment in Alzheimer</w:t>
      </w:r>
      <w:r w:rsidR="00A30187">
        <w:rPr>
          <w:rFonts w:ascii="Times New Roman" w:hAnsi="Times New Roman" w:cs="Times New Roman"/>
          <w:color w:val="000000" w:themeColor="text1"/>
          <w:sz w:val="24"/>
          <w:szCs w:val="24"/>
          <w:shd w:val="clear" w:color="auto" w:fill="FFFFFF"/>
        </w:rPr>
        <w:t>'</w:t>
      </w:r>
      <w:r w:rsidRPr="00036DDE">
        <w:rPr>
          <w:rFonts w:ascii="Times New Roman" w:hAnsi="Times New Roman" w:cs="Times New Roman"/>
          <w:color w:val="000000" w:themeColor="text1"/>
          <w:sz w:val="24"/>
          <w:szCs w:val="24"/>
          <w:shd w:val="clear" w:color="auto" w:fill="FFFFFF"/>
        </w:rPr>
        <w:t>s disease. </w:t>
      </w:r>
      <w:r w:rsidRPr="00036DDE">
        <w:rPr>
          <w:rFonts w:ascii="Times New Roman" w:hAnsi="Times New Roman" w:cs="Times New Roman"/>
          <w:i/>
          <w:iCs/>
          <w:color w:val="000000" w:themeColor="text1"/>
          <w:sz w:val="24"/>
          <w:szCs w:val="24"/>
          <w:shd w:val="clear" w:color="auto" w:fill="FFFFFF"/>
        </w:rPr>
        <w:t>Scientific Reports</w:t>
      </w:r>
      <w:r w:rsidRPr="00036DDE">
        <w:rPr>
          <w:rFonts w:ascii="Times New Roman" w:hAnsi="Times New Roman" w:cs="Times New Roman"/>
          <w:color w:val="000000" w:themeColor="text1"/>
          <w:sz w:val="24"/>
          <w:szCs w:val="24"/>
          <w:shd w:val="clear" w:color="auto" w:fill="FFFFFF"/>
        </w:rPr>
        <w:t>, </w:t>
      </w:r>
      <w:r w:rsidRPr="00036DDE">
        <w:rPr>
          <w:rFonts w:ascii="Times New Roman" w:hAnsi="Times New Roman" w:cs="Times New Roman"/>
          <w:i/>
          <w:iCs/>
          <w:color w:val="000000" w:themeColor="text1"/>
          <w:sz w:val="24"/>
          <w:szCs w:val="24"/>
          <w:shd w:val="clear" w:color="auto" w:fill="FFFFFF"/>
        </w:rPr>
        <w:t>7</w:t>
      </w:r>
      <w:r w:rsidRPr="00036DDE">
        <w:rPr>
          <w:rFonts w:ascii="Times New Roman" w:hAnsi="Times New Roman" w:cs="Times New Roman"/>
          <w:color w:val="000000" w:themeColor="text1"/>
          <w:sz w:val="24"/>
          <w:szCs w:val="24"/>
          <w:shd w:val="clear" w:color="auto" w:fill="FFFFFF"/>
        </w:rPr>
        <w:t>(1). DOI: 10.1038/s41598-017-13368-2</w:t>
      </w:r>
    </w:p>
    <w:p w:rsidR="00036DDE" w:rsidRPr="00036DDE" w:rsidRDefault="002921B9" w:rsidP="00036DDE">
      <w:pPr>
        <w:spacing w:after="0" w:line="480" w:lineRule="auto"/>
        <w:ind w:left="720" w:hanging="720"/>
        <w:rPr>
          <w:rFonts w:ascii="Times New Roman" w:hAnsi="Times New Roman" w:cs="Times New Roman"/>
          <w:color w:val="000000" w:themeColor="text1"/>
          <w:sz w:val="24"/>
          <w:szCs w:val="24"/>
          <w:shd w:val="clear" w:color="auto" w:fill="FFFFFF"/>
        </w:rPr>
      </w:pPr>
      <w:r w:rsidRPr="00036DDE">
        <w:rPr>
          <w:rFonts w:ascii="Times New Roman" w:hAnsi="Times New Roman" w:cs="Times New Roman"/>
          <w:color w:val="000000" w:themeColor="text1"/>
          <w:sz w:val="24"/>
          <w:szCs w:val="24"/>
          <w:shd w:val="clear" w:color="auto" w:fill="FFFFFF"/>
        </w:rPr>
        <w:t>Kowalski, K., &amp; Mulak, A. (2019). Brain-Gut-Microbiota Axis in Alzheimer</w:t>
      </w:r>
      <w:r w:rsidR="00A30187">
        <w:rPr>
          <w:rFonts w:ascii="Times New Roman" w:hAnsi="Times New Roman" w:cs="Times New Roman"/>
          <w:color w:val="000000" w:themeColor="text1"/>
          <w:sz w:val="24"/>
          <w:szCs w:val="24"/>
          <w:shd w:val="clear" w:color="auto" w:fill="FFFFFF"/>
        </w:rPr>
        <w:t>'</w:t>
      </w:r>
      <w:r w:rsidRPr="00036DDE">
        <w:rPr>
          <w:rFonts w:ascii="Times New Roman" w:hAnsi="Times New Roman" w:cs="Times New Roman"/>
          <w:color w:val="000000" w:themeColor="text1"/>
          <w:sz w:val="24"/>
          <w:szCs w:val="24"/>
          <w:shd w:val="clear" w:color="auto" w:fill="FFFFFF"/>
        </w:rPr>
        <w:t>s Disease. </w:t>
      </w:r>
      <w:r w:rsidRPr="00036DDE">
        <w:rPr>
          <w:rFonts w:ascii="Times New Roman" w:hAnsi="Times New Roman" w:cs="Times New Roman"/>
          <w:i/>
          <w:iCs/>
          <w:color w:val="000000" w:themeColor="text1"/>
          <w:sz w:val="24"/>
          <w:szCs w:val="24"/>
          <w:shd w:val="clear" w:color="auto" w:fill="FFFFFF"/>
        </w:rPr>
        <w:t>Journal of Neurogastroenterology and Motility</w:t>
      </w:r>
      <w:r w:rsidRPr="00036DDE">
        <w:rPr>
          <w:rFonts w:ascii="Times New Roman" w:hAnsi="Times New Roman" w:cs="Times New Roman"/>
          <w:color w:val="000000" w:themeColor="text1"/>
          <w:sz w:val="24"/>
          <w:szCs w:val="24"/>
          <w:shd w:val="clear" w:color="auto" w:fill="FFFFFF"/>
        </w:rPr>
        <w:t>, </w:t>
      </w:r>
      <w:r w:rsidRPr="00036DDE">
        <w:rPr>
          <w:rFonts w:ascii="Times New Roman" w:hAnsi="Times New Roman" w:cs="Times New Roman"/>
          <w:i/>
          <w:iCs/>
          <w:color w:val="000000" w:themeColor="text1"/>
          <w:sz w:val="24"/>
          <w:szCs w:val="24"/>
          <w:shd w:val="clear" w:color="auto" w:fill="FFFFFF"/>
        </w:rPr>
        <w:t>25</w:t>
      </w:r>
      <w:r w:rsidRPr="00036DDE">
        <w:rPr>
          <w:rFonts w:ascii="Times New Roman" w:hAnsi="Times New Roman" w:cs="Times New Roman"/>
          <w:color w:val="000000" w:themeColor="text1"/>
          <w:sz w:val="24"/>
          <w:szCs w:val="24"/>
          <w:shd w:val="clear" w:color="auto" w:fill="FFFFFF"/>
        </w:rPr>
        <w:t>(1), 48-60. DOI: 10.5056/jnm18087</w:t>
      </w:r>
    </w:p>
    <w:p w:rsidR="00036DDE" w:rsidRPr="00036DDE" w:rsidRDefault="002921B9" w:rsidP="00036DDE">
      <w:pPr>
        <w:spacing w:after="0" w:line="480" w:lineRule="auto"/>
        <w:ind w:left="720" w:hanging="720"/>
        <w:rPr>
          <w:rFonts w:ascii="Times New Roman" w:hAnsi="Times New Roman" w:cs="Times New Roman"/>
          <w:color w:val="000000" w:themeColor="text1"/>
          <w:sz w:val="24"/>
          <w:szCs w:val="24"/>
          <w:shd w:val="clear" w:color="auto" w:fill="FFFFFF"/>
        </w:rPr>
      </w:pPr>
      <w:r w:rsidRPr="00036DDE">
        <w:rPr>
          <w:rFonts w:ascii="Times New Roman" w:hAnsi="Times New Roman" w:cs="Times New Roman"/>
          <w:color w:val="000000" w:themeColor="text1"/>
          <w:sz w:val="24"/>
          <w:szCs w:val="24"/>
          <w:shd w:val="clear" w:color="auto" w:fill="FFFFFF"/>
        </w:rPr>
        <w:t xml:space="preserve">Ma, Q., Xing, C., Long, W., Wang, H., Liu, Q., &amp; Wang, R. (2019). Impact of microbiota on the central nervous system and neurological diseases: the gut-brain axis. </w:t>
      </w:r>
      <w:r w:rsidRPr="00036DDE">
        <w:rPr>
          <w:rFonts w:ascii="Times New Roman" w:hAnsi="Times New Roman" w:cs="Times New Roman"/>
          <w:i/>
          <w:iCs/>
          <w:color w:val="000000" w:themeColor="text1"/>
          <w:sz w:val="24"/>
          <w:szCs w:val="24"/>
          <w:shd w:val="clear" w:color="auto" w:fill="FFFFFF"/>
        </w:rPr>
        <w:t>Journal of Neuroinflammation</w:t>
      </w:r>
      <w:r w:rsidRPr="00036DDE">
        <w:rPr>
          <w:rFonts w:ascii="Times New Roman" w:hAnsi="Times New Roman" w:cs="Times New Roman"/>
          <w:color w:val="000000" w:themeColor="text1"/>
          <w:sz w:val="24"/>
          <w:szCs w:val="24"/>
          <w:shd w:val="clear" w:color="auto" w:fill="FFFFFF"/>
        </w:rPr>
        <w:t>, </w:t>
      </w:r>
      <w:r w:rsidRPr="00036DDE">
        <w:rPr>
          <w:rFonts w:ascii="Times New Roman" w:hAnsi="Times New Roman" w:cs="Times New Roman"/>
          <w:i/>
          <w:iCs/>
          <w:color w:val="000000" w:themeColor="text1"/>
          <w:sz w:val="24"/>
          <w:szCs w:val="24"/>
          <w:shd w:val="clear" w:color="auto" w:fill="FFFFFF"/>
        </w:rPr>
        <w:t>16</w:t>
      </w:r>
      <w:r w:rsidRPr="00036DDE">
        <w:rPr>
          <w:rFonts w:ascii="Times New Roman" w:hAnsi="Times New Roman" w:cs="Times New Roman"/>
          <w:color w:val="000000" w:themeColor="text1"/>
          <w:sz w:val="24"/>
          <w:szCs w:val="24"/>
          <w:shd w:val="clear" w:color="auto" w:fill="FFFFFF"/>
        </w:rPr>
        <w:t>(1). DOI: 10.1186/s12974-019-1434-3</w:t>
      </w:r>
    </w:p>
    <w:p w:rsidR="00036DDE" w:rsidRPr="00036DDE" w:rsidRDefault="002921B9" w:rsidP="00036DDE">
      <w:pPr>
        <w:spacing w:after="0" w:line="480" w:lineRule="auto"/>
        <w:ind w:left="720" w:hanging="720"/>
        <w:rPr>
          <w:rFonts w:ascii="Times New Roman" w:hAnsi="Times New Roman" w:cs="Times New Roman"/>
          <w:color w:val="000000" w:themeColor="text1"/>
          <w:sz w:val="24"/>
          <w:szCs w:val="24"/>
          <w:shd w:val="clear" w:color="auto" w:fill="FFFFFF"/>
        </w:rPr>
      </w:pPr>
      <w:r w:rsidRPr="00036DDE">
        <w:rPr>
          <w:rFonts w:ascii="Times New Roman" w:hAnsi="Times New Roman" w:cs="Times New Roman"/>
          <w:color w:val="000000" w:themeColor="text1"/>
          <w:sz w:val="24"/>
          <w:szCs w:val="24"/>
          <w:shd w:val="clear" w:color="auto" w:fill="FFFFFF"/>
        </w:rPr>
        <w:lastRenderedPageBreak/>
        <w:t>Nagpal, R., Neth, B., Wang, S., Craft, S., &amp; Yadav, H. (2019). Modified Mediterranean-Ketogenic Diet Modulates Gut Microbiome and Short-Chain Fatty Acids in Association with Alzheimer's Disease Markers in Subjects with Mild Cognitive Impairment. </w:t>
      </w:r>
      <w:r w:rsidRPr="00036DDE">
        <w:rPr>
          <w:rFonts w:ascii="Times New Roman" w:hAnsi="Times New Roman" w:cs="Times New Roman"/>
          <w:i/>
          <w:iCs/>
          <w:color w:val="000000" w:themeColor="text1"/>
          <w:sz w:val="24"/>
          <w:szCs w:val="24"/>
          <w:shd w:val="clear" w:color="auto" w:fill="FFFFFF"/>
        </w:rPr>
        <w:t>SSRN Electronic Journal</w:t>
      </w:r>
      <w:r w:rsidRPr="00036DDE">
        <w:rPr>
          <w:rFonts w:ascii="Times New Roman" w:hAnsi="Times New Roman" w:cs="Times New Roman"/>
          <w:color w:val="000000" w:themeColor="text1"/>
          <w:sz w:val="24"/>
          <w:szCs w:val="24"/>
          <w:shd w:val="clear" w:color="auto" w:fill="FFFFFF"/>
        </w:rPr>
        <w:t>. DOI: 10.2139/ssrn.3363786</w:t>
      </w:r>
    </w:p>
    <w:p w:rsidR="00036DDE" w:rsidRPr="00036DDE" w:rsidRDefault="002921B9" w:rsidP="00036DDE">
      <w:pPr>
        <w:spacing w:after="0" w:line="480" w:lineRule="auto"/>
        <w:ind w:left="720" w:hanging="720"/>
        <w:rPr>
          <w:rFonts w:ascii="Times New Roman" w:hAnsi="Times New Roman" w:cs="Times New Roman"/>
          <w:color w:val="000000" w:themeColor="text1"/>
          <w:sz w:val="24"/>
          <w:szCs w:val="24"/>
          <w:shd w:val="clear" w:color="auto" w:fill="FFFFFF"/>
        </w:rPr>
      </w:pPr>
      <w:r w:rsidRPr="00036DDE">
        <w:rPr>
          <w:rFonts w:ascii="Times New Roman" w:hAnsi="Times New Roman" w:cs="Times New Roman"/>
          <w:color w:val="000000" w:themeColor="text1"/>
          <w:sz w:val="24"/>
          <w:szCs w:val="24"/>
          <w:shd w:val="clear" w:color="auto" w:fill="FFFFFF"/>
        </w:rPr>
        <w:t>Weller, J., &amp;Budson, A. (2018). Current understanding of Alzheimer's disease diagnosis and treatment. </w:t>
      </w:r>
      <w:r w:rsidRPr="00036DDE">
        <w:rPr>
          <w:rFonts w:ascii="Times New Roman" w:hAnsi="Times New Roman" w:cs="Times New Roman"/>
          <w:i/>
          <w:iCs/>
          <w:color w:val="000000" w:themeColor="text1"/>
          <w:sz w:val="24"/>
          <w:szCs w:val="24"/>
          <w:shd w:val="clear" w:color="auto" w:fill="FFFFFF"/>
        </w:rPr>
        <w:t>F1000Research</w:t>
      </w:r>
      <w:r w:rsidRPr="00036DDE">
        <w:rPr>
          <w:rFonts w:ascii="Times New Roman" w:hAnsi="Times New Roman" w:cs="Times New Roman"/>
          <w:color w:val="000000" w:themeColor="text1"/>
          <w:sz w:val="24"/>
          <w:szCs w:val="24"/>
          <w:shd w:val="clear" w:color="auto" w:fill="FFFFFF"/>
        </w:rPr>
        <w:t>, </w:t>
      </w:r>
      <w:r w:rsidRPr="00036DDE">
        <w:rPr>
          <w:rFonts w:ascii="Times New Roman" w:hAnsi="Times New Roman" w:cs="Times New Roman"/>
          <w:i/>
          <w:iCs/>
          <w:color w:val="000000" w:themeColor="text1"/>
          <w:sz w:val="24"/>
          <w:szCs w:val="24"/>
          <w:shd w:val="clear" w:color="auto" w:fill="FFFFFF"/>
        </w:rPr>
        <w:t>7</w:t>
      </w:r>
      <w:r w:rsidRPr="00036DDE">
        <w:rPr>
          <w:rFonts w:ascii="Times New Roman" w:hAnsi="Times New Roman" w:cs="Times New Roman"/>
          <w:color w:val="000000" w:themeColor="text1"/>
          <w:sz w:val="24"/>
          <w:szCs w:val="24"/>
          <w:shd w:val="clear" w:color="auto" w:fill="FFFFFF"/>
        </w:rPr>
        <w:t xml:space="preserve">, F1000 Faculty Rev-1161. </w:t>
      </w:r>
      <w:hyperlink r:id="rId6" w:history="1">
        <w:r w:rsidRPr="00036DDE">
          <w:rPr>
            <w:rStyle w:val="Hyperlink"/>
            <w:rFonts w:ascii="Times New Roman" w:hAnsi="Times New Roman" w:cs="Times New Roman"/>
            <w:color w:val="000000" w:themeColor="text1"/>
            <w:sz w:val="24"/>
            <w:szCs w:val="24"/>
            <w:u w:val="none"/>
            <w:shd w:val="clear" w:color="auto" w:fill="FFFFFF"/>
          </w:rPr>
          <w:t>https://doi.org/10.12688/f1000research.14506.1</w:t>
        </w:r>
      </w:hyperlink>
    </w:p>
    <w:sectPr w:rsidR="00036DDE" w:rsidRPr="00036DDE" w:rsidSect="00036D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49C" w:rsidRDefault="00D2449C">
      <w:pPr>
        <w:spacing w:after="0" w:line="240" w:lineRule="auto"/>
      </w:pPr>
      <w:r>
        <w:separator/>
      </w:r>
    </w:p>
  </w:endnote>
  <w:endnote w:type="continuationSeparator" w:id="1">
    <w:p w:rsidR="00D2449C" w:rsidRDefault="00D244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49C" w:rsidRDefault="00D2449C">
      <w:pPr>
        <w:spacing w:after="0" w:line="240" w:lineRule="auto"/>
      </w:pPr>
      <w:r>
        <w:separator/>
      </w:r>
    </w:p>
  </w:footnote>
  <w:footnote w:type="continuationSeparator" w:id="1">
    <w:p w:rsidR="00D2449C" w:rsidRDefault="00D244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DE" w:rsidRDefault="002921B9" w:rsidP="00036DDE">
    <w:pPr>
      <w:pStyle w:val="Header"/>
    </w:pPr>
    <w:r w:rsidRPr="00036DDE">
      <w:rPr>
        <w:rFonts w:ascii="Times New Roman" w:hAnsi="Times New Roman" w:cs="Times New Roman"/>
        <w:color w:val="000000" w:themeColor="text1"/>
        <w:sz w:val="24"/>
        <w:szCs w:val="24"/>
      </w:rPr>
      <w:t xml:space="preserve">GUT MICROBIOMES IN PREVENTION AND TREATMENT OF AD  </w:t>
    </w:r>
    <w:r w:rsidR="00A70538">
      <w:rPr>
        <w:rFonts w:ascii="Times New Roman" w:hAnsi="Times New Roman" w:cs="Times New Roman"/>
        <w:color w:val="000000" w:themeColor="text1"/>
        <w:sz w:val="24"/>
        <w:szCs w:val="24"/>
      </w:rPr>
      <w:t xml:space="preserve">                               </w:t>
    </w:r>
    <w:r w:rsidRPr="00036DDE">
      <w:rPr>
        <w:rFonts w:ascii="Times New Roman" w:hAnsi="Times New Roman" w:cs="Times New Roman"/>
        <w:color w:val="000000" w:themeColor="text1"/>
        <w:sz w:val="24"/>
        <w:szCs w:val="24"/>
      </w:rPr>
      <w:t xml:space="preserve"> </w:t>
    </w:r>
    <w:sdt>
      <w:sdtPr>
        <w:rPr>
          <w:rFonts w:ascii="Times New Roman" w:hAnsi="Times New Roman" w:cs="Times New Roman"/>
          <w:sz w:val="24"/>
          <w:szCs w:val="24"/>
        </w:rPr>
        <w:id w:val="-2053606737"/>
        <w:docPartObj>
          <w:docPartGallery w:val="Page Numbers (Top of Page)"/>
          <w:docPartUnique/>
        </w:docPartObj>
      </w:sdtPr>
      <w:sdtEndPr>
        <w:rPr>
          <w:noProof/>
        </w:rPr>
      </w:sdtEndPr>
      <w:sdtContent>
        <w:r w:rsidR="00181E51" w:rsidRPr="00036DDE">
          <w:rPr>
            <w:rFonts w:ascii="Times New Roman" w:hAnsi="Times New Roman" w:cs="Times New Roman"/>
            <w:sz w:val="24"/>
            <w:szCs w:val="24"/>
          </w:rPr>
          <w:fldChar w:fldCharType="begin"/>
        </w:r>
        <w:r w:rsidRPr="00036DDE">
          <w:rPr>
            <w:rFonts w:ascii="Times New Roman" w:hAnsi="Times New Roman" w:cs="Times New Roman"/>
            <w:sz w:val="24"/>
            <w:szCs w:val="24"/>
          </w:rPr>
          <w:instrText xml:space="preserve"> PAGE   \* MERGEFORMAT </w:instrText>
        </w:r>
        <w:r w:rsidR="00181E51" w:rsidRPr="00036DDE">
          <w:rPr>
            <w:rFonts w:ascii="Times New Roman" w:hAnsi="Times New Roman" w:cs="Times New Roman"/>
            <w:sz w:val="24"/>
            <w:szCs w:val="24"/>
          </w:rPr>
          <w:fldChar w:fldCharType="separate"/>
        </w:r>
        <w:r w:rsidR="00A40095">
          <w:rPr>
            <w:rFonts w:ascii="Times New Roman" w:hAnsi="Times New Roman" w:cs="Times New Roman"/>
            <w:noProof/>
            <w:sz w:val="24"/>
            <w:szCs w:val="24"/>
          </w:rPr>
          <w:t>12</w:t>
        </w:r>
        <w:r w:rsidR="00181E51" w:rsidRPr="00036DDE">
          <w:rPr>
            <w:rFonts w:ascii="Times New Roman" w:hAnsi="Times New Roman" w:cs="Times New Roman"/>
            <w:noProof/>
            <w:sz w:val="24"/>
            <w:szCs w:val="24"/>
          </w:rPr>
          <w:fldChar w:fldCharType="end"/>
        </w:r>
      </w:sdtContent>
    </w:sdt>
  </w:p>
  <w:p w:rsidR="00036DDE" w:rsidRDefault="00036DD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DE" w:rsidRPr="00036DDE" w:rsidRDefault="002921B9" w:rsidP="00036DDE">
    <w:pPr>
      <w:pStyle w:val="Header"/>
      <w:rPr>
        <w:rFonts w:ascii="Times New Roman" w:hAnsi="Times New Roman" w:cs="Times New Roman"/>
        <w:sz w:val="24"/>
        <w:szCs w:val="24"/>
      </w:rPr>
    </w:pPr>
    <w:r>
      <w:rPr>
        <w:rFonts w:ascii="Times New Roman" w:hAnsi="Times New Roman" w:cs="Times New Roman"/>
        <w:color w:val="000000" w:themeColor="text1"/>
        <w:sz w:val="24"/>
        <w:szCs w:val="24"/>
      </w:rPr>
      <w:t xml:space="preserve">Running head: </w:t>
    </w:r>
    <w:r w:rsidRPr="00036DDE">
      <w:rPr>
        <w:rFonts w:ascii="Times New Roman" w:hAnsi="Times New Roman" w:cs="Times New Roman"/>
        <w:color w:val="000000" w:themeColor="text1"/>
        <w:sz w:val="24"/>
        <w:szCs w:val="24"/>
      </w:rPr>
      <w:t>GUT MICROBIOMES IN PREVENTION AND TREATMENT OF AD</w:t>
    </w:r>
    <w:sdt>
      <w:sdtPr>
        <w:rPr>
          <w:rFonts w:ascii="Times New Roman" w:hAnsi="Times New Roman" w:cs="Times New Roman"/>
          <w:sz w:val="24"/>
          <w:szCs w:val="24"/>
        </w:rPr>
        <w:id w:val="-1675952698"/>
        <w:docPartObj>
          <w:docPartGallery w:val="Page Numbers (Top of Page)"/>
          <w:docPartUnique/>
        </w:docPartObj>
      </w:sdtPr>
      <w:sdtEndPr>
        <w:rPr>
          <w:noProof/>
        </w:rPr>
      </w:sdtEndPr>
      <w:sdtContent>
        <w:r w:rsidR="00181E51" w:rsidRPr="00036DDE">
          <w:rPr>
            <w:rFonts w:ascii="Times New Roman" w:hAnsi="Times New Roman" w:cs="Times New Roman"/>
            <w:sz w:val="24"/>
            <w:szCs w:val="24"/>
          </w:rPr>
          <w:fldChar w:fldCharType="begin"/>
        </w:r>
        <w:r w:rsidRPr="00036DDE">
          <w:rPr>
            <w:rFonts w:ascii="Times New Roman" w:hAnsi="Times New Roman" w:cs="Times New Roman"/>
            <w:sz w:val="24"/>
            <w:szCs w:val="24"/>
          </w:rPr>
          <w:instrText xml:space="preserve"> PAGE   \* MERGEFORMAT </w:instrText>
        </w:r>
        <w:r w:rsidR="00181E51" w:rsidRPr="00036DDE">
          <w:rPr>
            <w:rFonts w:ascii="Times New Roman" w:hAnsi="Times New Roman" w:cs="Times New Roman"/>
            <w:sz w:val="24"/>
            <w:szCs w:val="24"/>
          </w:rPr>
          <w:fldChar w:fldCharType="separate"/>
        </w:r>
        <w:r w:rsidR="00A40095">
          <w:rPr>
            <w:rFonts w:ascii="Times New Roman" w:hAnsi="Times New Roman" w:cs="Times New Roman"/>
            <w:noProof/>
            <w:sz w:val="24"/>
            <w:szCs w:val="24"/>
          </w:rPr>
          <w:t>1</w:t>
        </w:r>
        <w:r w:rsidR="00181E51" w:rsidRPr="00036DDE">
          <w:rPr>
            <w:rFonts w:ascii="Times New Roman" w:hAnsi="Times New Roman" w:cs="Times New Roman"/>
            <w:noProof/>
            <w:sz w:val="24"/>
            <w:szCs w:val="24"/>
          </w:rPr>
          <w:fldChar w:fldCharType="end"/>
        </w:r>
      </w:sdtContent>
    </w:sdt>
  </w:p>
  <w:p w:rsidR="00036DDE" w:rsidRDefault="00036DD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0MDEzNDAyMTcysbRU0lEKTi0uzszPAykwqgUA70tXcSwAAAA="/>
  </w:docVars>
  <w:rsids>
    <w:rsidRoot w:val="00E37C1C"/>
    <w:rsid w:val="00036DDE"/>
    <w:rsid w:val="00073B25"/>
    <w:rsid w:val="000A745A"/>
    <w:rsid w:val="000C2864"/>
    <w:rsid w:val="00141660"/>
    <w:rsid w:val="00162562"/>
    <w:rsid w:val="00174FF5"/>
    <w:rsid w:val="00176013"/>
    <w:rsid w:val="001771B9"/>
    <w:rsid w:val="00181E51"/>
    <w:rsid w:val="001A6FBC"/>
    <w:rsid w:val="001B332E"/>
    <w:rsid w:val="002028AA"/>
    <w:rsid w:val="00283B87"/>
    <w:rsid w:val="002921B9"/>
    <w:rsid w:val="002F435A"/>
    <w:rsid w:val="003B391F"/>
    <w:rsid w:val="003B6A02"/>
    <w:rsid w:val="003B7ECB"/>
    <w:rsid w:val="00437006"/>
    <w:rsid w:val="00440C01"/>
    <w:rsid w:val="004D5AC5"/>
    <w:rsid w:val="006D04D5"/>
    <w:rsid w:val="00731297"/>
    <w:rsid w:val="0073734E"/>
    <w:rsid w:val="00752B37"/>
    <w:rsid w:val="007552D8"/>
    <w:rsid w:val="007E1A7D"/>
    <w:rsid w:val="00805D76"/>
    <w:rsid w:val="0083682B"/>
    <w:rsid w:val="0084079B"/>
    <w:rsid w:val="008875BC"/>
    <w:rsid w:val="00890C41"/>
    <w:rsid w:val="009054A1"/>
    <w:rsid w:val="00944324"/>
    <w:rsid w:val="00954F4D"/>
    <w:rsid w:val="009833C5"/>
    <w:rsid w:val="009B4537"/>
    <w:rsid w:val="009D0938"/>
    <w:rsid w:val="00A30187"/>
    <w:rsid w:val="00A40095"/>
    <w:rsid w:val="00A428AD"/>
    <w:rsid w:val="00A70538"/>
    <w:rsid w:val="00B246BB"/>
    <w:rsid w:val="00B31A33"/>
    <w:rsid w:val="00C40A89"/>
    <w:rsid w:val="00CD487C"/>
    <w:rsid w:val="00D2449C"/>
    <w:rsid w:val="00DD1B87"/>
    <w:rsid w:val="00DE3D97"/>
    <w:rsid w:val="00DF50D3"/>
    <w:rsid w:val="00E37C1C"/>
    <w:rsid w:val="00E829B1"/>
    <w:rsid w:val="00E960EE"/>
    <w:rsid w:val="00EC26B3"/>
    <w:rsid w:val="00F36706"/>
    <w:rsid w:val="00F951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0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51C6"/>
    <w:rPr>
      <w:color w:val="0563C1" w:themeColor="hyperlink"/>
      <w:u w:val="single"/>
    </w:rPr>
  </w:style>
  <w:style w:type="paragraph" w:styleId="Header">
    <w:name w:val="header"/>
    <w:basedOn w:val="Normal"/>
    <w:link w:val="HeaderChar"/>
    <w:uiPriority w:val="99"/>
    <w:unhideWhenUsed/>
    <w:rsid w:val="00036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DDE"/>
  </w:style>
  <w:style w:type="paragraph" w:styleId="Footer">
    <w:name w:val="footer"/>
    <w:basedOn w:val="Normal"/>
    <w:link w:val="FooterChar"/>
    <w:uiPriority w:val="99"/>
    <w:unhideWhenUsed/>
    <w:rsid w:val="00036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DD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2688/f1000research.14506.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3237</Words>
  <Characters>18453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2020-04-24T05:24:00Z</dcterms:created>
  <dcterms:modified xsi:type="dcterms:W3CDTF">2020-04-24T05:24:00Z</dcterms:modified>
</cp:coreProperties>
</file>